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103" w:rsidRPr="00AA1116" w:rsidRDefault="00AA1116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Título: </w:t>
      </w:r>
      <w:r w:rsidRPr="00AA1116">
        <w:rPr>
          <w:rFonts w:ascii="Arial" w:hAnsi="Arial" w:cs="Arial"/>
          <w:sz w:val="24"/>
          <w:szCs w:val="24"/>
        </w:rPr>
        <w:t>«</w:t>
      </w:r>
      <w:r w:rsidR="00302103" w:rsidRPr="00AA1116">
        <w:rPr>
          <w:rFonts w:ascii="Arial" w:eastAsia="Times New Roman" w:hAnsi="Arial" w:cs="Arial"/>
          <w:bCs/>
          <w:sz w:val="24"/>
          <w:szCs w:val="24"/>
          <w:lang w:eastAsia="es-AR"/>
        </w:rPr>
        <w:t>Aula híbrida como estrategia de enseñanza interdisciplinaria: una experiencia educativa en técnicas de venopuntura y planes de hidratación parenteral en ca</w:t>
      </w:r>
      <w:r>
        <w:rPr>
          <w:rFonts w:ascii="Arial" w:eastAsia="Times New Roman" w:hAnsi="Arial" w:cs="Arial"/>
          <w:bCs/>
          <w:sz w:val="24"/>
          <w:szCs w:val="24"/>
          <w:lang w:eastAsia="es-AR"/>
        </w:rPr>
        <w:t xml:space="preserve">rreras de Medicina y Enfermería». </w:t>
      </w:r>
    </w:p>
    <w:p w:rsidR="00302103" w:rsidRPr="00AA1116" w:rsidRDefault="00302103" w:rsidP="00821D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hAnsi="Arial" w:cs="Arial"/>
          <w:b/>
        </w:rPr>
        <w:t>Datos de los autores y coautores:</w:t>
      </w:r>
      <w:r w:rsidRPr="00AA1116">
        <w:rPr>
          <w:rFonts w:ascii="Arial" w:eastAsia="Times New Roman" w:hAnsi="Arial" w:cs="Arial"/>
          <w:b/>
          <w:bCs/>
          <w:lang w:eastAsia="es-AR"/>
        </w:rPr>
        <w:t xml:space="preserve"> Apellido y nombre:</w:t>
      </w:r>
      <w:r w:rsidR="00821D6D" w:rsidRPr="00AA1116">
        <w:rPr>
          <w:rFonts w:ascii="Arial" w:eastAsia="Times New Roman" w:hAnsi="Arial" w:cs="Arial"/>
          <w:lang w:eastAsia="es-AR"/>
        </w:rPr>
        <w:t xml:space="preserve"> Roux</w:t>
      </w:r>
      <w:r w:rsidRPr="00AA1116">
        <w:rPr>
          <w:rFonts w:ascii="Arial" w:eastAsia="Times New Roman" w:hAnsi="Arial" w:cs="Arial"/>
          <w:lang w:eastAsia="es-AR"/>
        </w:rPr>
        <w:t xml:space="preserve"> Graciela</w:t>
      </w:r>
      <w:r w:rsidR="00821D6D" w:rsidRPr="00AA1116">
        <w:rPr>
          <w:rFonts w:ascii="Arial" w:eastAsia="Times New Roman" w:hAnsi="Arial" w:cs="Arial"/>
          <w:lang w:eastAsia="es-AR"/>
        </w:rPr>
        <w:t xml:space="preserve"> María Magdalena; González </w:t>
      </w:r>
      <w:r w:rsidRPr="00AA1116">
        <w:rPr>
          <w:rFonts w:ascii="Arial" w:eastAsia="Times New Roman" w:hAnsi="Arial" w:cs="Arial"/>
          <w:lang w:eastAsia="es-AR"/>
        </w:rPr>
        <w:t>Rosa</w:t>
      </w:r>
      <w:r w:rsidR="00821D6D" w:rsidRPr="00AA1116">
        <w:rPr>
          <w:rFonts w:ascii="Arial" w:eastAsia="Times New Roman" w:hAnsi="Arial" w:cs="Arial"/>
          <w:lang w:eastAsia="es-AR"/>
        </w:rPr>
        <w:t xml:space="preserve"> Haydée; Gómez Rosel</w:t>
      </w:r>
      <w:r w:rsidRPr="00AA1116">
        <w:rPr>
          <w:rFonts w:ascii="Arial" w:eastAsia="Times New Roman" w:hAnsi="Arial" w:cs="Arial"/>
          <w:lang w:eastAsia="es-AR"/>
        </w:rPr>
        <w:t xml:space="preserve"> Gastón</w:t>
      </w:r>
      <w:r w:rsidR="00821D6D" w:rsidRPr="00AA1116">
        <w:rPr>
          <w:rFonts w:ascii="Arial" w:eastAsia="Times New Roman" w:hAnsi="Arial" w:cs="Arial"/>
          <w:lang w:eastAsia="es-AR"/>
        </w:rPr>
        <w:t xml:space="preserve">; Batalla </w:t>
      </w:r>
      <w:r w:rsidRPr="00AA1116">
        <w:rPr>
          <w:rFonts w:ascii="Arial" w:eastAsia="Times New Roman" w:hAnsi="Arial" w:cs="Arial"/>
          <w:lang w:eastAsia="es-AR"/>
        </w:rPr>
        <w:t>Liliana</w:t>
      </w:r>
      <w:r w:rsidR="00821D6D" w:rsidRPr="00AA1116">
        <w:rPr>
          <w:rFonts w:ascii="Arial" w:eastAsia="Times New Roman" w:hAnsi="Arial" w:cs="Arial"/>
          <w:lang w:eastAsia="es-AR"/>
        </w:rPr>
        <w:t xml:space="preserve"> Angélica</w:t>
      </w:r>
      <w:r w:rsidRPr="00AA1116">
        <w:rPr>
          <w:rFonts w:ascii="Arial" w:eastAsia="Times New Roman" w:hAnsi="Arial" w:cs="Arial"/>
          <w:lang w:eastAsia="es-AR"/>
        </w:rPr>
        <w:t>.</w:t>
      </w:r>
    </w:p>
    <w:p w:rsidR="00302103" w:rsidRPr="009E0F6E" w:rsidRDefault="00302103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s-ES" w:eastAsia="es-AR"/>
        </w:rPr>
      </w:pPr>
      <w:r w:rsidRPr="009E0F6E">
        <w:rPr>
          <w:rFonts w:ascii="Arial" w:eastAsia="Times New Roman" w:hAnsi="Arial" w:cs="Arial"/>
          <w:b/>
          <w:bCs/>
          <w:lang w:val="es-ES" w:eastAsia="es-AR"/>
        </w:rPr>
        <w:t>Email:</w:t>
      </w:r>
      <w:r w:rsidR="00AA1116" w:rsidRPr="009E0F6E">
        <w:rPr>
          <w:rFonts w:ascii="Arial" w:eastAsia="Times New Roman" w:hAnsi="Arial" w:cs="Arial"/>
          <w:lang w:val="es-ES" w:eastAsia="es-AR"/>
        </w:rPr>
        <w:t xml:space="preserve"> </w:t>
      </w:r>
      <w:r w:rsidR="00821D6D" w:rsidRPr="009E0F6E">
        <w:rPr>
          <w:rFonts w:ascii="Arial" w:hAnsi="Arial" w:cs="Arial"/>
          <w:lang w:val="es-ES"/>
        </w:rPr>
        <w:t>g</w:t>
      </w:r>
      <w:r w:rsidR="00AA1116" w:rsidRPr="009E0F6E">
        <w:rPr>
          <w:rFonts w:ascii="Arial" w:hAnsi="Arial" w:cs="Arial"/>
          <w:lang w:val="es-ES"/>
        </w:rPr>
        <w:t>raroux@hotmail.com</w:t>
      </w:r>
    </w:p>
    <w:p w:rsidR="00302103" w:rsidRPr="00AA1116" w:rsidRDefault="00302103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hAnsi="Arial" w:cs="Arial"/>
          <w:b/>
        </w:rPr>
        <w:t>Pertenencia institucional:</w:t>
      </w:r>
      <w:r w:rsidRPr="00AA1116">
        <w:rPr>
          <w:rFonts w:ascii="Arial" w:hAnsi="Arial" w:cs="Arial"/>
        </w:rPr>
        <w:t xml:space="preserve"> </w:t>
      </w:r>
      <w:r w:rsidRPr="00AA1116">
        <w:rPr>
          <w:rFonts w:ascii="Arial" w:eastAsia="Times New Roman" w:hAnsi="Arial" w:cs="Arial"/>
          <w:bCs/>
          <w:lang w:eastAsia="es-AR"/>
        </w:rPr>
        <w:t>Universidad Nacional del Nordeste (UNNE)</w:t>
      </w:r>
    </w:p>
    <w:p w:rsidR="00302103" w:rsidRPr="00AA1116" w:rsidRDefault="00302103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es-AR"/>
        </w:rPr>
      </w:pPr>
      <w:r w:rsidRPr="00AA1116">
        <w:rPr>
          <w:rFonts w:ascii="Arial" w:hAnsi="Arial" w:cs="Arial"/>
          <w:b/>
        </w:rPr>
        <w:t xml:space="preserve">Eje temático: </w:t>
      </w:r>
      <w:r w:rsidRPr="00AA1116">
        <w:rPr>
          <w:rFonts w:ascii="Arial" w:eastAsia="Times New Roman" w:hAnsi="Arial" w:cs="Arial"/>
          <w:b/>
          <w:lang w:eastAsia="es-AR"/>
        </w:rPr>
        <w:t>Relatoría de Experiencias</w:t>
      </w:r>
    </w:p>
    <w:p w:rsidR="006D4741" w:rsidRPr="00AA1116" w:rsidRDefault="00302103" w:rsidP="001958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hAnsi="Arial" w:cs="Arial"/>
          <w:b/>
        </w:rPr>
        <w:t>Introducción:</w:t>
      </w:r>
      <w:r w:rsidRPr="00AA1116">
        <w:rPr>
          <w:rFonts w:ascii="Arial" w:eastAsia="Times New Roman" w:hAnsi="Arial" w:cs="Arial"/>
          <w:b/>
          <w:lang w:eastAsia="es-AR"/>
        </w:rPr>
        <w:t xml:space="preserve"> </w:t>
      </w:r>
      <w:r w:rsidRPr="00AA1116">
        <w:rPr>
          <w:rFonts w:ascii="Arial" w:eastAsia="Times New Roman" w:hAnsi="Arial" w:cs="Arial"/>
          <w:lang w:eastAsia="es-AR"/>
        </w:rPr>
        <w:t>En el contexto de las transformaciones educativas impulsadas por la digitalización y la necesidad de métodos flexibles, el aula híbrida emerge como un recurso clave para promover experiencias inclusivas e interdisciplinarias</w:t>
      </w:r>
      <w:r w:rsidR="000B4CFC" w:rsidRPr="00AA1116">
        <w:rPr>
          <w:rFonts w:ascii="Arial" w:eastAsia="Times New Roman" w:hAnsi="Arial" w:cs="Arial"/>
          <w:lang w:eastAsia="es-AR"/>
        </w:rPr>
        <w:t xml:space="preserve"> (1,2,3)</w:t>
      </w:r>
      <w:r w:rsidRPr="00AA1116">
        <w:rPr>
          <w:rFonts w:ascii="Arial" w:eastAsia="Times New Roman" w:hAnsi="Arial" w:cs="Arial"/>
          <w:b/>
          <w:lang w:eastAsia="es-AR"/>
        </w:rPr>
        <w:t xml:space="preserve">. </w:t>
      </w:r>
      <w:r w:rsidR="006D4741" w:rsidRPr="00AA1116">
        <w:rPr>
          <w:rFonts w:ascii="Arial" w:eastAsia="Times New Roman" w:hAnsi="Arial" w:cs="Arial"/>
          <w:lang w:eastAsia="es-AR"/>
        </w:rPr>
        <w:t xml:space="preserve">La </w:t>
      </w:r>
      <w:r w:rsidR="006D4741" w:rsidRPr="00AA1116">
        <w:rPr>
          <w:rFonts w:ascii="Arial" w:eastAsia="Times New Roman" w:hAnsi="Arial" w:cs="Arial"/>
          <w:bCs/>
          <w:lang w:eastAsia="es-AR"/>
        </w:rPr>
        <w:t>educación híbrida</w:t>
      </w:r>
      <w:r w:rsidR="006D4741" w:rsidRPr="00AA1116">
        <w:rPr>
          <w:rFonts w:ascii="Arial" w:eastAsia="Times New Roman" w:hAnsi="Arial" w:cs="Arial"/>
          <w:lang w:eastAsia="es-AR"/>
        </w:rPr>
        <w:t xml:space="preserve"> se define como una modalidad que combina la enseñanza presencial con la virtual, permitiendo una interacción sincrónica y asincrónica entre docentes y estudiantes</w:t>
      </w:r>
      <w:r w:rsidR="000B4CFC" w:rsidRPr="00AA1116">
        <w:rPr>
          <w:rFonts w:ascii="Arial" w:eastAsia="Times New Roman" w:hAnsi="Arial" w:cs="Arial"/>
          <w:lang w:eastAsia="es-AR"/>
        </w:rPr>
        <w:t xml:space="preserve"> (2,3)</w:t>
      </w:r>
      <w:r w:rsidR="006D4741" w:rsidRPr="00AA1116">
        <w:rPr>
          <w:rFonts w:ascii="Arial" w:eastAsia="Times New Roman" w:hAnsi="Arial" w:cs="Arial"/>
          <w:lang w:eastAsia="es-AR"/>
        </w:rPr>
        <w:t>. Este enfoque responde a las demandas de flexibilidad, inclusión y personalización del aprendizaje en contextos contempo</w:t>
      </w:r>
      <w:r w:rsidR="000B4CFC" w:rsidRPr="00AA1116">
        <w:rPr>
          <w:rFonts w:ascii="Arial" w:eastAsia="Times New Roman" w:hAnsi="Arial" w:cs="Arial"/>
          <w:lang w:eastAsia="es-AR"/>
        </w:rPr>
        <w:t>ráneos (2,</w:t>
      </w:r>
      <w:r w:rsidR="00B6410B" w:rsidRPr="00AA1116">
        <w:rPr>
          <w:rFonts w:ascii="Arial" w:eastAsia="Times New Roman" w:hAnsi="Arial" w:cs="Arial"/>
          <w:lang w:eastAsia="es-AR"/>
        </w:rPr>
        <w:t>5,</w:t>
      </w:r>
      <w:r w:rsidR="000B4CFC" w:rsidRPr="00AA1116">
        <w:rPr>
          <w:rFonts w:ascii="Arial" w:eastAsia="Times New Roman" w:hAnsi="Arial" w:cs="Arial"/>
          <w:lang w:eastAsia="es-AR"/>
        </w:rPr>
        <w:t>7,10</w:t>
      </w:r>
      <w:r w:rsidR="006D4741" w:rsidRPr="00AA1116">
        <w:rPr>
          <w:rFonts w:ascii="Arial" w:eastAsia="Times New Roman" w:hAnsi="Arial" w:cs="Arial"/>
          <w:lang w:eastAsia="es-AR"/>
        </w:rPr>
        <w:t xml:space="preserve">). </w:t>
      </w:r>
      <w:r w:rsidR="000B4CFC" w:rsidRPr="00AA1116">
        <w:rPr>
          <w:rFonts w:ascii="Arial" w:eastAsia="Times New Roman" w:hAnsi="Arial" w:cs="Arial"/>
          <w:lang w:eastAsia="es-AR"/>
        </w:rPr>
        <w:t xml:space="preserve">Como lo sostienen numerosos autores </w:t>
      </w:r>
      <w:r w:rsidR="00B6410B" w:rsidRPr="00AA1116">
        <w:rPr>
          <w:rFonts w:ascii="Arial" w:eastAsia="Times New Roman" w:hAnsi="Arial" w:cs="Arial"/>
          <w:lang w:eastAsia="es-AR"/>
        </w:rPr>
        <w:t>(</w:t>
      </w:r>
      <w:r w:rsidR="000B4CFC" w:rsidRPr="00AA1116">
        <w:rPr>
          <w:rFonts w:ascii="Arial" w:eastAsia="Times New Roman" w:hAnsi="Arial" w:cs="Arial"/>
          <w:lang w:eastAsia="es-AR"/>
        </w:rPr>
        <w:t>4,6</w:t>
      </w:r>
      <w:r w:rsidR="00B6410B" w:rsidRPr="00AA1116">
        <w:rPr>
          <w:rFonts w:ascii="Arial" w:eastAsia="Times New Roman" w:hAnsi="Arial" w:cs="Arial"/>
          <w:lang w:eastAsia="es-AR"/>
        </w:rPr>
        <w:t>,9</w:t>
      </w:r>
      <w:r w:rsidR="000B4CFC" w:rsidRPr="00AA1116">
        <w:rPr>
          <w:rFonts w:ascii="Arial" w:eastAsia="Times New Roman" w:hAnsi="Arial" w:cs="Arial"/>
          <w:lang w:eastAsia="es-AR"/>
        </w:rPr>
        <w:t>)</w:t>
      </w:r>
      <w:r w:rsidR="006D4741" w:rsidRPr="00AA1116">
        <w:rPr>
          <w:rFonts w:ascii="Arial" w:eastAsia="Times New Roman" w:hAnsi="Arial" w:cs="Arial"/>
          <w:lang w:eastAsia="es-AR"/>
        </w:rPr>
        <w:t>, el aula híbrida no es solo una solución tecnológica, sino una transformación pedagógica que permite:</w:t>
      </w:r>
    </w:p>
    <w:p w:rsidR="006D4741" w:rsidRPr="00AA1116" w:rsidRDefault="006D4741" w:rsidP="006D474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Adaptar contenidos a diferentes ritmos y estilos de aprendizaje.</w:t>
      </w:r>
    </w:p>
    <w:p w:rsidR="006D4741" w:rsidRPr="00AA1116" w:rsidRDefault="006D4741" w:rsidP="006D474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Promover la autonomía del estudiante.</w:t>
      </w:r>
    </w:p>
    <w:p w:rsidR="006D4741" w:rsidRPr="00AA1116" w:rsidRDefault="006D4741" w:rsidP="006D474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Ampliar el acceso a experiencias formativas, especialmente en contextos de diversidad geográfica o social.</w:t>
      </w:r>
    </w:p>
    <w:p w:rsidR="0019580A" w:rsidRPr="00AA1116" w:rsidRDefault="006D4741" w:rsidP="001958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En el ámbito de la formación en salud, esta modalidad facilita el desarrollo de competencias clínicas mediante simulaciones, recursos audiovisuales y trabajo colaborativo, sin perder la riqueza del contacto humano</w:t>
      </w:r>
      <w:r w:rsidR="000B4CFC" w:rsidRPr="00AA1116">
        <w:rPr>
          <w:rFonts w:ascii="Arial" w:eastAsia="Times New Roman" w:hAnsi="Arial" w:cs="Arial"/>
          <w:lang w:eastAsia="es-AR"/>
        </w:rPr>
        <w:t xml:space="preserve"> (1,2,3)</w:t>
      </w:r>
      <w:r w:rsidRPr="00AA1116">
        <w:rPr>
          <w:rFonts w:ascii="Arial" w:eastAsia="Times New Roman" w:hAnsi="Arial" w:cs="Arial"/>
          <w:lang w:eastAsia="es-AR"/>
        </w:rPr>
        <w:t>.</w:t>
      </w:r>
      <w:r w:rsidR="0019580A" w:rsidRPr="00AA1116">
        <w:rPr>
          <w:rFonts w:ascii="Arial" w:eastAsia="Times New Roman" w:hAnsi="Arial" w:cs="Arial"/>
          <w:sz w:val="24"/>
          <w:szCs w:val="24"/>
          <w:lang w:eastAsia="es-AR"/>
        </w:rPr>
        <w:t xml:space="preserve"> </w:t>
      </w:r>
      <w:r w:rsidR="0019580A" w:rsidRPr="00AA1116">
        <w:rPr>
          <w:rFonts w:ascii="Arial" w:eastAsia="Times New Roman" w:hAnsi="Arial" w:cs="Arial"/>
          <w:lang w:eastAsia="es-AR"/>
        </w:rPr>
        <w:t xml:space="preserve">La </w:t>
      </w:r>
      <w:r w:rsidR="0019580A" w:rsidRPr="00AA1116">
        <w:rPr>
          <w:rFonts w:ascii="Arial" w:eastAsia="Times New Roman" w:hAnsi="Arial" w:cs="Arial"/>
          <w:bCs/>
          <w:lang w:eastAsia="es-AR"/>
        </w:rPr>
        <w:t>interdisciplinariedad</w:t>
      </w:r>
      <w:r w:rsidR="0019580A" w:rsidRPr="00AA1116">
        <w:rPr>
          <w:rFonts w:ascii="Arial" w:eastAsia="Times New Roman" w:hAnsi="Arial" w:cs="Arial"/>
          <w:lang w:eastAsia="es-AR"/>
        </w:rPr>
        <w:t xml:space="preserve"> implica la integración de saberes y metodologías de distintas disciplinas para abordar problemas complejos </w:t>
      </w:r>
      <w:r w:rsidR="000B4CFC" w:rsidRPr="00AA1116">
        <w:rPr>
          <w:rFonts w:ascii="Arial" w:eastAsia="Times New Roman" w:hAnsi="Arial" w:cs="Arial"/>
          <w:lang w:eastAsia="es-AR"/>
        </w:rPr>
        <w:t>desde múltiples perspectivas (1,5,9</w:t>
      </w:r>
      <w:r w:rsidR="0019580A" w:rsidRPr="00AA1116">
        <w:rPr>
          <w:rFonts w:ascii="Arial" w:eastAsia="Times New Roman" w:hAnsi="Arial" w:cs="Arial"/>
          <w:sz w:val="24"/>
          <w:szCs w:val="24"/>
          <w:lang w:eastAsia="es-AR"/>
        </w:rPr>
        <w:t>). En el contexto educativo, permite:</w:t>
      </w:r>
    </w:p>
    <w:p w:rsidR="0019580A" w:rsidRPr="00AA1116" w:rsidRDefault="0019580A" w:rsidP="001958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Superar la fragmentación del conocimiento.</w:t>
      </w:r>
    </w:p>
    <w:p w:rsidR="0019580A" w:rsidRPr="00AA1116" w:rsidRDefault="0019580A" w:rsidP="001958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Fomentar el trabajo colaborativo entre carreras afines.</w:t>
      </w:r>
    </w:p>
    <w:p w:rsidR="0019580A" w:rsidRPr="00AA1116" w:rsidRDefault="0019580A" w:rsidP="001958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 xml:space="preserve">Enriquecer la comprensión de contenidos transversales </w:t>
      </w:r>
    </w:p>
    <w:p w:rsidR="00302103" w:rsidRPr="00AA1116" w:rsidRDefault="00302103" w:rsidP="001958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Este trabajo describe una propuesta de formación práctica en salud desarrollada simultáneamente con estudiantes presenciales y virtuales de las carreras de Medicina y Enfermería de UNNE. Se abordaron contenidos transversales como la técnica de venopuntura y los planes de hidratación parenteral en adultos, promoviendo el trabajo colaborativo entre distintos niveles de formación y carreras.</w:t>
      </w:r>
    </w:p>
    <w:p w:rsidR="00302103" w:rsidRPr="00AA1116" w:rsidRDefault="00302103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hAnsi="Arial" w:cs="Arial"/>
          <w:b/>
        </w:rPr>
        <w:t>Palabras clave:</w:t>
      </w:r>
      <w:r w:rsidRPr="00AA1116">
        <w:rPr>
          <w:rFonts w:ascii="Arial" w:eastAsia="Times New Roman" w:hAnsi="Arial" w:cs="Arial"/>
          <w:lang w:eastAsia="es-AR"/>
        </w:rPr>
        <w:t xml:space="preserve"> </w:t>
      </w:r>
      <w:r w:rsidR="00AA1116" w:rsidRPr="00AA1116">
        <w:rPr>
          <w:rFonts w:ascii="Arial" w:eastAsia="Times New Roman" w:hAnsi="Arial" w:cs="Arial"/>
          <w:lang w:eastAsia="es-AR"/>
        </w:rPr>
        <w:t>Aula híbrida, Interdisciplina, f</w:t>
      </w:r>
      <w:r w:rsidRPr="00AA1116">
        <w:rPr>
          <w:rFonts w:ascii="Arial" w:eastAsia="Times New Roman" w:hAnsi="Arial" w:cs="Arial"/>
          <w:lang w:eastAsia="es-AR"/>
        </w:rPr>
        <w:t>ormación en salud</w:t>
      </w:r>
      <w:r w:rsidR="00AA1116" w:rsidRPr="00AA1116">
        <w:rPr>
          <w:rFonts w:ascii="Arial" w:eastAsia="Times New Roman" w:hAnsi="Arial" w:cs="Arial"/>
          <w:lang w:eastAsia="es-AR"/>
        </w:rPr>
        <w:t>.</w:t>
      </w:r>
    </w:p>
    <w:p w:rsidR="00F35B47" w:rsidRPr="00AA1116" w:rsidRDefault="00302103" w:rsidP="00302103">
      <w:pPr>
        <w:spacing w:before="100" w:beforeAutospacing="1" w:after="100" w:afterAutospacing="1" w:line="240" w:lineRule="auto"/>
        <w:rPr>
          <w:rFonts w:ascii="Arial" w:hAnsi="Arial" w:cs="Arial"/>
          <w:b/>
        </w:rPr>
      </w:pPr>
      <w:r w:rsidRPr="00AA1116">
        <w:rPr>
          <w:rFonts w:ascii="Arial" w:hAnsi="Arial" w:cs="Arial"/>
          <w:b/>
        </w:rPr>
        <w:t>Objetivos:</w:t>
      </w:r>
    </w:p>
    <w:p w:rsidR="00AA1116" w:rsidRPr="00AA1116" w:rsidRDefault="006D4741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1</w:t>
      </w:r>
      <w:r w:rsidR="00302103" w:rsidRPr="00AA1116">
        <w:rPr>
          <w:rFonts w:ascii="Arial" w:eastAsia="Times New Roman" w:hAnsi="Arial" w:cs="Arial"/>
          <w:lang w:eastAsia="es-AR"/>
        </w:rPr>
        <w:t>.Implementar una estrategia híbrida para la enseñanza de prácticas clínicas básicas.</w:t>
      </w:r>
    </w:p>
    <w:p w:rsidR="00F35B47" w:rsidRPr="00AA1116" w:rsidRDefault="00302103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2.Fomentar el trabajo interdisciplinario entre estudiantes de Medicina y Enfermería.</w:t>
      </w:r>
    </w:p>
    <w:p w:rsidR="00302103" w:rsidRPr="00AA1116" w:rsidRDefault="00302103" w:rsidP="0030210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lastRenderedPageBreak/>
        <w:t>3.Recoger y analizar las percepciones de los estudiantes sobre la experiencia de aprendizaje combinada.</w:t>
      </w:r>
    </w:p>
    <w:p w:rsidR="00F44BEA" w:rsidRPr="00AA1116" w:rsidRDefault="00302103" w:rsidP="00A84E8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r w:rsidRPr="00AA1116">
        <w:rPr>
          <w:rFonts w:ascii="Arial" w:hAnsi="Arial" w:cs="Arial"/>
          <w:b/>
        </w:rPr>
        <w:t>Materiales y métodos:</w:t>
      </w:r>
      <w:r w:rsidRPr="00AA1116">
        <w:rPr>
          <w:rFonts w:ascii="Arial" w:eastAsia="Times New Roman" w:hAnsi="Arial" w:cs="Arial"/>
          <w:b/>
          <w:bCs/>
          <w:lang w:eastAsia="es-AR"/>
        </w:rPr>
        <w:t xml:space="preserve"> </w:t>
      </w:r>
      <w:r w:rsidR="00F44BEA" w:rsidRPr="00AA1116">
        <w:rPr>
          <w:rFonts w:ascii="Arial" w:eastAsia="Times New Roman" w:hAnsi="Arial" w:cs="Arial"/>
          <w:lang w:eastAsia="es-AR"/>
        </w:rPr>
        <w:t>Enfoque metodológico Cuantitativo-</w:t>
      </w:r>
      <w:r w:rsidR="00D6480F" w:rsidRPr="00AA1116">
        <w:rPr>
          <w:rFonts w:ascii="Arial" w:eastAsia="Times New Roman" w:hAnsi="Arial" w:cs="Arial"/>
          <w:lang w:eastAsia="es-AR"/>
        </w:rPr>
        <w:t>cualitativo</w:t>
      </w:r>
      <w:r w:rsidR="00F44BEA" w:rsidRPr="00AA1116">
        <w:rPr>
          <w:rFonts w:ascii="Arial" w:eastAsia="Times New Roman" w:hAnsi="Arial" w:cs="Arial"/>
          <w:lang w:eastAsia="es-AR"/>
        </w:rPr>
        <w:t>, descriptivo. Diseño</w:t>
      </w:r>
      <w:r w:rsidR="00F44BEA" w:rsidRPr="00AA1116">
        <w:rPr>
          <w:rFonts w:ascii="Arial" w:eastAsia="Times New Roman" w:hAnsi="Arial" w:cs="Arial"/>
          <w:b/>
          <w:bCs/>
          <w:lang w:eastAsia="es-AR"/>
        </w:rPr>
        <w:t xml:space="preserve"> </w:t>
      </w:r>
      <w:r w:rsidR="00F44BEA" w:rsidRPr="00AA1116">
        <w:rPr>
          <w:rFonts w:ascii="Arial" w:eastAsia="Times New Roman" w:hAnsi="Arial" w:cs="Arial"/>
          <w:bCs/>
          <w:lang w:eastAsia="es-AR"/>
        </w:rPr>
        <w:t>transversal</w:t>
      </w:r>
      <w:r w:rsidR="00F44BEA" w:rsidRPr="00AA1116">
        <w:rPr>
          <w:rFonts w:ascii="Arial" w:eastAsia="Times New Roman" w:hAnsi="Arial" w:cs="Arial"/>
          <w:lang w:eastAsia="es-AR"/>
        </w:rPr>
        <w:t xml:space="preserve"> de tipo experiencial, centrado en la implementación de una clase híbrida sincrónica que integró 80 estudiantes</w:t>
      </w:r>
      <w:r w:rsidR="00D6480F" w:rsidRPr="00AA1116">
        <w:rPr>
          <w:rFonts w:ascii="Arial" w:eastAsia="Times New Roman" w:hAnsi="Arial" w:cs="Arial"/>
          <w:lang w:eastAsia="es-AR"/>
        </w:rPr>
        <w:t xml:space="preserve"> (40 presenciales y 40 virtuales) </w:t>
      </w:r>
      <w:r w:rsidR="00F44BEA" w:rsidRPr="00AA1116">
        <w:rPr>
          <w:rFonts w:ascii="Arial" w:eastAsia="Times New Roman" w:hAnsi="Arial" w:cs="Arial"/>
          <w:lang w:eastAsia="es-AR"/>
        </w:rPr>
        <w:t>de distintas carreras (Medicina y Enfermería) y niveles formativos (2°, 4° y 6° año).</w:t>
      </w:r>
      <w:r w:rsidR="00A84E81" w:rsidRPr="00AA1116">
        <w:rPr>
          <w:rFonts w:ascii="Arial" w:eastAsia="Times New Roman" w:hAnsi="Arial" w:cs="Arial"/>
          <w:lang w:eastAsia="es-AR"/>
        </w:rPr>
        <w:t xml:space="preserve"> (40 presenciales y 40 virtuales) (40 presenciales y 40 virtuales)</w:t>
      </w:r>
      <w:r w:rsidR="00A84E81" w:rsidRPr="00AA1116">
        <w:rPr>
          <w:rFonts w:ascii="Arial" w:eastAsia="Times New Roman" w:hAnsi="Arial" w:cs="Arial"/>
          <w:sz w:val="24"/>
          <w:szCs w:val="24"/>
          <w:lang w:eastAsia="es-AR"/>
        </w:rPr>
        <w:t xml:space="preserve"> </w:t>
      </w:r>
      <w:r w:rsidR="00A84E81" w:rsidRPr="00AA1116">
        <w:rPr>
          <w:rFonts w:ascii="Arial" w:eastAsia="Times New Roman" w:hAnsi="Arial" w:cs="Arial"/>
          <w:lang w:eastAsia="es-AR"/>
        </w:rPr>
        <w:t xml:space="preserve">La muestra fue </w:t>
      </w:r>
      <w:r w:rsidR="00A84E81" w:rsidRPr="00AA1116">
        <w:rPr>
          <w:rFonts w:ascii="Arial" w:eastAsia="Times New Roman" w:hAnsi="Arial" w:cs="Arial"/>
          <w:bCs/>
          <w:lang w:eastAsia="es-AR"/>
        </w:rPr>
        <w:t>intencional</w:t>
      </w:r>
      <w:r w:rsidR="00A84E81" w:rsidRPr="00AA1116">
        <w:rPr>
          <w:rFonts w:ascii="Arial" w:eastAsia="Times New Roman" w:hAnsi="Arial" w:cs="Arial"/>
          <w:lang w:eastAsia="es-AR"/>
        </w:rPr>
        <w:t>, considerando la participación voluntaria de estudiantes que cursaban asignaturas vinculadas a prácticas clínicas. La</w:t>
      </w:r>
      <w:r w:rsidR="00F44BEA" w:rsidRPr="00AA1116">
        <w:rPr>
          <w:rFonts w:ascii="Arial" w:eastAsia="Times New Roman" w:hAnsi="Arial" w:cs="Arial"/>
          <w:lang w:eastAsia="es-AR"/>
        </w:rPr>
        <w:t xml:space="preserve"> propuesta se desarrolló en un entorno tecno</w:t>
      </w:r>
      <w:r w:rsidR="00D6480F" w:rsidRPr="00AA1116">
        <w:rPr>
          <w:rFonts w:ascii="Arial" w:eastAsia="Times New Roman" w:hAnsi="Arial" w:cs="Arial"/>
          <w:lang w:eastAsia="es-AR"/>
        </w:rPr>
        <w:t>-</w:t>
      </w:r>
      <w:r w:rsidR="00F44BEA" w:rsidRPr="00AA1116">
        <w:rPr>
          <w:rFonts w:ascii="Arial" w:eastAsia="Times New Roman" w:hAnsi="Arial" w:cs="Arial"/>
          <w:lang w:eastAsia="es-AR"/>
        </w:rPr>
        <w:t xml:space="preserve">pedagógico que combinó simulación clínica, recursos audiovisuales, actividades interactivas y trabajo colaborativo. Previo al </w:t>
      </w:r>
      <w:r w:rsidR="00D6480F" w:rsidRPr="00AA1116">
        <w:rPr>
          <w:rFonts w:ascii="Arial" w:eastAsia="Times New Roman" w:hAnsi="Arial" w:cs="Arial"/>
          <w:lang w:eastAsia="es-AR"/>
        </w:rPr>
        <w:t>encuentro quienes aceptaron participar voluntariamente de la experiencia</w:t>
      </w:r>
      <w:r w:rsidR="00F44BEA" w:rsidRPr="00AA1116">
        <w:rPr>
          <w:rFonts w:ascii="Arial" w:eastAsia="Times New Roman" w:hAnsi="Arial" w:cs="Arial"/>
          <w:lang w:eastAsia="es-AR"/>
        </w:rPr>
        <w:t>, recibieron en el aula Virtual de sus respectivas asignaturas materiales de estudio e instructivos que debieron leer y re</w:t>
      </w:r>
      <w:r w:rsidR="00D6480F" w:rsidRPr="00AA1116">
        <w:rPr>
          <w:rFonts w:ascii="Arial" w:eastAsia="Times New Roman" w:hAnsi="Arial" w:cs="Arial"/>
          <w:lang w:eastAsia="es-AR"/>
        </w:rPr>
        <w:t>alizar previamente, para utilizar así la</w:t>
      </w:r>
      <w:r w:rsidR="00F44BEA" w:rsidRPr="00AA1116">
        <w:rPr>
          <w:rFonts w:ascii="Arial" w:eastAsia="Times New Roman" w:hAnsi="Arial" w:cs="Arial"/>
          <w:lang w:eastAsia="es-AR"/>
        </w:rPr>
        <w:t xml:space="preserve"> estrategia aula invertida. Durante el encuentro </w:t>
      </w:r>
      <w:r w:rsidR="00D6480F" w:rsidRPr="00AA1116">
        <w:rPr>
          <w:rFonts w:ascii="Arial" w:eastAsia="Times New Roman" w:hAnsi="Arial" w:cs="Arial"/>
          <w:lang w:eastAsia="es-AR"/>
        </w:rPr>
        <w:t>sincrónico</w:t>
      </w:r>
      <w:r w:rsidR="00F44BEA" w:rsidRPr="00AA1116">
        <w:rPr>
          <w:rFonts w:ascii="Arial" w:eastAsia="Times New Roman" w:hAnsi="Arial" w:cs="Arial"/>
          <w:lang w:eastAsia="es-AR"/>
        </w:rPr>
        <w:t xml:space="preserve"> los presenciales en sede  trabajaron con sectores de miembros superiores de maniquíes  utilizando la red venosa del pliegue del codo para la práctica y los remotos lo realizaron en modelos caseros que realizaron grupalmente utilizando guantes de látex rellenos con arena, harina, arroz o polenta , agregando globos del modelo “lápiz” rellenos con colorante rojo para simular la red venosa superficial del dorso de la mano, ambos grupos trabajaron así con  modelos simulados, permitiendo a los estudiantes aplicar lo aprendido en escenarios controlados. Se evaluaron competencias cognitivas, procedimentales, comunicacionales y actitudinales.</w:t>
      </w:r>
    </w:p>
    <w:p w:rsidR="00302103" w:rsidRPr="00AA1116" w:rsidRDefault="00302103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b/>
          <w:bCs/>
          <w:lang w:eastAsia="es-AR"/>
        </w:rPr>
        <w:t>Instrumento de evaluación:</w:t>
      </w:r>
      <w:r w:rsidRPr="00AA1116">
        <w:rPr>
          <w:rFonts w:ascii="Arial" w:eastAsia="Times New Roman" w:hAnsi="Arial" w:cs="Arial"/>
          <w:lang w:eastAsia="es-AR"/>
        </w:rPr>
        <w:t xml:space="preserve"> Encuesta de opinión</w:t>
      </w:r>
      <w:r w:rsidR="00F35B47" w:rsidRPr="00AA1116">
        <w:rPr>
          <w:rFonts w:ascii="Arial" w:eastAsia="Times New Roman" w:hAnsi="Arial" w:cs="Arial"/>
          <w:lang w:eastAsia="es-AR"/>
        </w:rPr>
        <w:t xml:space="preserve"> </w:t>
      </w:r>
      <w:r w:rsidRPr="00AA1116">
        <w:rPr>
          <w:rFonts w:ascii="Arial" w:eastAsia="Times New Roman" w:hAnsi="Arial" w:cs="Arial"/>
          <w:lang w:eastAsia="es-AR"/>
        </w:rPr>
        <w:t>diseñada ad hoc sobre la experiencia.</w:t>
      </w:r>
      <w:r w:rsidR="00F35B47" w:rsidRPr="00AA1116">
        <w:rPr>
          <w:rFonts w:ascii="Arial" w:eastAsia="Times New Roman" w:hAnsi="Arial" w:cs="Arial"/>
          <w:lang w:eastAsia="es-AR"/>
        </w:rPr>
        <w:t xml:space="preserve"> </w:t>
      </w:r>
      <w:r w:rsidRPr="00AA1116">
        <w:rPr>
          <w:rFonts w:ascii="Arial" w:eastAsia="Times New Roman" w:hAnsi="Arial" w:cs="Arial"/>
          <w:lang w:eastAsia="es-AR"/>
        </w:rPr>
        <w:t xml:space="preserve">Se </w:t>
      </w:r>
      <w:r w:rsidR="00F35B47" w:rsidRPr="00AA1116">
        <w:rPr>
          <w:rFonts w:ascii="Arial" w:eastAsia="Times New Roman" w:hAnsi="Arial" w:cs="Arial"/>
          <w:lang w:eastAsia="es-AR"/>
        </w:rPr>
        <w:t>envió</w:t>
      </w:r>
      <w:r w:rsidRPr="00AA1116">
        <w:rPr>
          <w:rFonts w:ascii="Arial" w:eastAsia="Times New Roman" w:hAnsi="Arial" w:cs="Arial"/>
          <w:lang w:eastAsia="es-AR"/>
        </w:rPr>
        <w:t xml:space="preserve"> a los participante</w:t>
      </w:r>
      <w:r w:rsidR="00F35B47" w:rsidRPr="00AA1116">
        <w:rPr>
          <w:rFonts w:ascii="Arial" w:eastAsia="Times New Roman" w:hAnsi="Arial" w:cs="Arial"/>
          <w:lang w:eastAsia="es-AR"/>
        </w:rPr>
        <w:t xml:space="preserve">s </w:t>
      </w:r>
      <w:r w:rsidRPr="00AA1116">
        <w:rPr>
          <w:rFonts w:ascii="Arial" w:eastAsia="Times New Roman" w:hAnsi="Arial" w:cs="Arial"/>
          <w:lang w:eastAsia="es-AR"/>
        </w:rPr>
        <w:t xml:space="preserve">en formato google </w:t>
      </w:r>
      <w:r w:rsidR="00F35B47" w:rsidRPr="00AA1116">
        <w:rPr>
          <w:rFonts w:ascii="Arial" w:eastAsia="Times New Roman" w:hAnsi="Arial" w:cs="Arial"/>
          <w:lang w:eastAsia="es-AR"/>
        </w:rPr>
        <w:t>form una vez finalizada la actividad</w:t>
      </w:r>
      <w:r w:rsidRPr="00AA1116">
        <w:rPr>
          <w:rFonts w:ascii="Arial" w:eastAsia="Times New Roman" w:hAnsi="Arial" w:cs="Arial"/>
          <w:lang w:eastAsia="es-AR"/>
        </w:rPr>
        <w:t xml:space="preserve">, con 11 preguntas con posibilidad de elección de respuesta en escala de tipo </w:t>
      </w:r>
      <w:r w:rsidR="00AA1116" w:rsidRPr="00AA1116">
        <w:rPr>
          <w:rFonts w:ascii="Arial" w:eastAsia="Times New Roman" w:hAnsi="Arial" w:cs="Arial"/>
          <w:lang w:eastAsia="es-AR"/>
        </w:rPr>
        <w:t xml:space="preserve">Likert cuantitativas, y </w:t>
      </w:r>
      <w:r w:rsidRPr="00AA1116">
        <w:rPr>
          <w:rFonts w:ascii="Arial" w:eastAsia="Times New Roman" w:hAnsi="Arial" w:cs="Arial"/>
          <w:lang w:eastAsia="es-AR"/>
        </w:rPr>
        <w:t xml:space="preserve">preguntas </w:t>
      </w:r>
      <w:r w:rsidR="00F35B47" w:rsidRPr="00AA1116">
        <w:rPr>
          <w:rFonts w:ascii="Arial" w:eastAsia="Times New Roman" w:hAnsi="Arial" w:cs="Arial"/>
          <w:lang w:eastAsia="es-AR"/>
        </w:rPr>
        <w:t xml:space="preserve">abiertas. </w:t>
      </w:r>
      <w:r w:rsidRPr="00AA1116">
        <w:rPr>
          <w:rFonts w:ascii="Arial" w:eastAsia="Times New Roman" w:hAnsi="Arial" w:cs="Arial"/>
          <w:b/>
          <w:bCs/>
          <w:lang w:eastAsia="es-AR"/>
        </w:rPr>
        <w:t>Indicadores cualitativos:</w:t>
      </w:r>
      <w:r w:rsidRPr="00AA1116">
        <w:rPr>
          <w:rFonts w:ascii="Arial" w:eastAsia="Times New Roman" w:hAnsi="Arial" w:cs="Arial"/>
          <w:lang w:eastAsia="es-AR"/>
        </w:rPr>
        <w:t xml:space="preserve"> satisfacción, aprendizaje percibido, integración</w:t>
      </w:r>
      <w:r w:rsidR="00AA1116" w:rsidRPr="00AA1116">
        <w:rPr>
          <w:rFonts w:ascii="Arial" w:eastAsia="Times New Roman" w:hAnsi="Arial" w:cs="Arial"/>
          <w:lang w:eastAsia="es-AR"/>
        </w:rPr>
        <w:t xml:space="preserve"> </w:t>
      </w:r>
      <w:r w:rsidRPr="00AA1116">
        <w:rPr>
          <w:rFonts w:ascii="Arial" w:eastAsia="Times New Roman" w:hAnsi="Arial" w:cs="Arial"/>
          <w:lang w:eastAsia="es-AR"/>
        </w:rPr>
        <w:t>interdisciplinaria.</w:t>
      </w:r>
    </w:p>
    <w:p w:rsidR="0064409D" w:rsidRPr="00AA1116" w:rsidRDefault="00302103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hAnsi="Arial" w:cs="Arial"/>
          <w:b/>
        </w:rPr>
        <w:t>Resultados y discusión</w:t>
      </w:r>
      <w:r w:rsidR="00F35B47" w:rsidRPr="00AA1116">
        <w:rPr>
          <w:rFonts w:ascii="Arial" w:hAnsi="Arial" w:cs="Arial"/>
          <w:b/>
        </w:rPr>
        <w:t>:</w:t>
      </w:r>
      <w:r w:rsidR="0064409D" w:rsidRPr="00AA1116">
        <w:rPr>
          <w:rFonts w:ascii="Arial" w:eastAsia="Times New Roman" w:hAnsi="Arial" w:cs="Arial"/>
          <w:sz w:val="24"/>
          <w:szCs w:val="24"/>
          <w:lang w:eastAsia="es-AR"/>
        </w:rPr>
        <w:t xml:space="preserve"> La implementación de la propuesta formativa evidenció </w:t>
      </w:r>
      <w:r w:rsidR="0064409D" w:rsidRPr="00AA1116">
        <w:rPr>
          <w:rFonts w:ascii="Arial" w:eastAsia="Times New Roman" w:hAnsi="Arial" w:cs="Arial"/>
          <w:lang w:eastAsia="es-AR"/>
        </w:rPr>
        <w:t>mejoras sustanciales en la comprensión y ejecución de la técnica. Los participantes demostraron progreso en: Reconocimiento anatómico y selección adecuada del sitio de punción, Dominio de los pasos técnicos con cumplimiento de los principios de bioseguridad, Desarrollo de habilidades comunicacionales centradas en el respeto y la empatía hacia el paciente.</w:t>
      </w:r>
    </w:p>
    <w:p w:rsidR="0064409D" w:rsidRPr="00AA1116" w:rsidRDefault="0064409D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La modalidad híbrida favoreció una participación amplia y flexible, permitiendo que estudiantes con distintas realidades accedan a una experiencia pedagógica significativa. La reflexión ética emergió como eje transversal, consolidando no solo el saber técnico, sino también una postura profesional humanizada.</w:t>
      </w:r>
    </w:p>
    <w:p w:rsidR="00F35B47" w:rsidRDefault="00F35B47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Los estudiantes valoraron positivamente la integración entre carreras, destacaron la claridad de los contenidos, la accesibilidad de los recursos, y la posibilidad de colaborar con colegas de distintos niveles. La modalidad híbrida permitió ampliar el alcance de la experiencia y evidenció fortalezas en la organización, diseño de clases, y humanización del vínculo docente-estudiante. Se identificaron desafíos logísticos y tecnológicos que aportan a la mejora continua del modelo.</w:t>
      </w:r>
    </w:p>
    <w:p w:rsidR="005C3892" w:rsidRDefault="005C3892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</w:p>
    <w:p w:rsidR="005C3892" w:rsidRDefault="005C3892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</w:p>
    <w:p w:rsidR="005C3892" w:rsidRPr="00AA1116" w:rsidRDefault="005C3892" w:rsidP="00AA11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</w:p>
    <w:p w:rsidR="006E1BA6" w:rsidRPr="006E1BA6" w:rsidRDefault="005C3892" w:rsidP="005C3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val="es-ES" w:eastAsia="es-AR"/>
        </w:rPr>
      </w:pPr>
      <w:r>
        <w:rPr>
          <w:rFonts w:ascii="Arial" w:eastAsia="Times New Roman" w:hAnsi="Arial" w:cs="Arial"/>
          <w:b/>
          <w:lang w:eastAsia="es-AR"/>
        </w:rPr>
        <w:lastRenderedPageBreak/>
        <w:t>Gráfico 1</w:t>
      </w:r>
      <w:r w:rsidR="006E1BA6" w:rsidRPr="006E1BA6">
        <w:rPr>
          <w:rFonts w:ascii="Arial" w:eastAsia="Times New Roman" w:hAnsi="Arial" w:cs="Arial"/>
          <w:b/>
          <w:lang w:eastAsia="es-AR"/>
        </w:rPr>
        <w:t xml:space="preserve">: </w:t>
      </w:r>
      <w:r w:rsidR="009E0F6E">
        <w:rPr>
          <w:rFonts w:ascii="Arial" w:eastAsia="Times New Roman" w:hAnsi="Arial" w:cs="Arial"/>
          <w:b/>
          <w:lang w:val="es-ES" w:eastAsia="es-AR"/>
        </w:rPr>
        <w:t>C</w:t>
      </w:r>
      <w:r w:rsidR="006E1BA6" w:rsidRPr="006E1BA6">
        <w:rPr>
          <w:rFonts w:ascii="Arial" w:eastAsia="Times New Roman" w:hAnsi="Arial" w:cs="Arial"/>
          <w:b/>
          <w:lang w:val="es-ES" w:eastAsia="es-AR"/>
        </w:rPr>
        <w:t>ombinación d</w:t>
      </w:r>
      <w:r>
        <w:rPr>
          <w:rFonts w:ascii="Arial" w:eastAsia="Times New Roman" w:hAnsi="Arial" w:cs="Arial"/>
          <w:b/>
          <w:lang w:val="es-ES" w:eastAsia="es-AR"/>
        </w:rPr>
        <w:t>e modalidad presencial y remota.</w:t>
      </w:r>
    </w:p>
    <w:p w:rsidR="006E1BA6" w:rsidRPr="006E1BA6" w:rsidRDefault="006E1BA6" w:rsidP="006E1B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val="es-ES" w:eastAsia="es-AR"/>
        </w:rPr>
      </w:pPr>
      <w:r w:rsidRPr="006E1BA6">
        <w:rPr>
          <w:rFonts w:ascii="Arial" w:eastAsia="Times New Roman" w:hAnsi="Arial" w:cs="Arial"/>
          <w:b/>
          <w:noProof/>
          <w:lang w:eastAsia="es-AR"/>
        </w:rPr>
        <w:drawing>
          <wp:inline distT="0" distB="0" distL="0" distR="0" wp14:anchorId="777E77B4" wp14:editId="49C33EB5">
            <wp:extent cx="3135086" cy="1268038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64" cy="1280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1BA6" w:rsidRPr="006E1BA6" w:rsidRDefault="006E1BA6" w:rsidP="005C3892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AR"/>
        </w:rPr>
      </w:pPr>
      <w:r w:rsidRPr="006E1BA6">
        <w:rPr>
          <w:rFonts w:ascii="Arial" w:eastAsia="Times New Roman" w:hAnsi="Arial" w:cs="Arial"/>
          <w:b/>
          <w:lang w:val="es-ES" w:eastAsia="es-AR"/>
        </w:rPr>
        <w:t>Interpretación</w:t>
      </w:r>
    </w:p>
    <w:p w:rsidR="006E1BA6" w:rsidRPr="006E1BA6" w:rsidRDefault="006E1BA6" w:rsidP="005C3892">
      <w:pPr>
        <w:spacing w:after="0" w:line="240" w:lineRule="auto"/>
        <w:jc w:val="both"/>
        <w:rPr>
          <w:rFonts w:ascii="Arial" w:eastAsia="Times New Roman" w:hAnsi="Arial" w:cs="Arial"/>
          <w:lang w:val="es-ES" w:eastAsia="es-AR"/>
        </w:rPr>
      </w:pPr>
      <w:r w:rsidRPr="006E1BA6">
        <w:rPr>
          <w:rFonts w:ascii="Arial" w:eastAsia="Times New Roman" w:hAnsi="Arial" w:cs="Arial"/>
          <w:lang w:val="es-ES" w:eastAsia="es-AR"/>
        </w:rPr>
        <w:t>Este gráfico revela una percepción mayoritariamente favorable por parte de los estudiantes respecto a la efectividad de la modalidad híbrida (presencial + remota) en el aprendizaje de una técnica clínica compleja como lo es la venopunción.</w:t>
      </w:r>
    </w:p>
    <w:p w:rsidR="005C3892" w:rsidRDefault="005C3892" w:rsidP="005C3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val="es-ES" w:eastAsia="es-AR"/>
        </w:rPr>
      </w:pPr>
      <w:r>
        <w:rPr>
          <w:rFonts w:ascii="Arial" w:eastAsia="Times New Roman" w:hAnsi="Arial" w:cs="Arial"/>
          <w:b/>
          <w:lang w:val="es-ES" w:eastAsia="es-AR"/>
        </w:rPr>
        <w:t xml:space="preserve">Gráfico 2: </w:t>
      </w:r>
      <w:r w:rsidRPr="005C3892">
        <w:rPr>
          <w:rFonts w:ascii="Arial" w:eastAsia="Times New Roman" w:hAnsi="Arial" w:cs="Arial"/>
          <w:b/>
          <w:lang w:val="es-ES" w:eastAsia="es-AR"/>
        </w:rPr>
        <w:t>La interacción entre est</w:t>
      </w:r>
      <w:r>
        <w:rPr>
          <w:rFonts w:ascii="Arial" w:eastAsia="Times New Roman" w:hAnsi="Arial" w:cs="Arial"/>
          <w:b/>
          <w:lang w:val="es-ES" w:eastAsia="es-AR"/>
        </w:rPr>
        <w:t>udiantes presenciales y remotos.</w:t>
      </w:r>
    </w:p>
    <w:p w:rsidR="005C3892" w:rsidRPr="005C3892" w:rsidRDefault="005C3892" w:rsidP="005C3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val="es-ES" w:eastAsia="es-AR"/>
        </w:rPr>
      </w:pPr>
      <w:r w:rsidRPr="005C3892">
        <w:rPr>
          <w:rFonts w:ascii="Arial" w:eastAsia="Times New Roman" w:hAnsi="Arial" w:cs="Arial"/>
          <w:b/>
          <w:noProof/>
          <w:lang w:eastAsia="es-AR"/>
        </w:rPr>
        <w:drawing>
          <wp:inline distT="0" distB="0" distL="0" distR="0" wp14:anchorId="3A06FF61" wp14:editId="39800D6C">
            <wp:extent cx="3173186" cy="1213193"/>
            <wp:effectExtent l="0" t="0" r="8255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54660" cy="124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892" w:rsidRPr="005C3892" w:rsidRDefault="005C3892" w:rsidP="005C3892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AR"/>
        </w:rPr>
      </w:pPr>
      <w:r w:rsidRPr="005C3892">
        <w:rPr>
          <w:rFonts w:ascii="Arial" w:eastAsia="Times New Roman" w:hAnsi="Arial" w:cs="Arial"/>
          <w:b/>
          <w:lang w:val="es-ES" w:eastAsia="es-AR"/>
        </w:rPr>
        <w:t>Interpretación</w:t>
      </w:r>
    </w:p>
    <w:p w:rsidR="005C3892" w:rsidRPr="005C3892" w:rsidRDefault="005C3892" w:rsidP="005C3892">
      <w:pPr>
        <w:spacing w:after="0" w:line="240" w:lineRule="auto"/>
        <w:jc w:val="both"/>
        <w:rPr>
          <w:rFonts w:ascii="Arial" w:eastAsia="Times New Roman" w:hAnsi="Arial" w:cs="Arial"/>
          <w:lang w:val="es-ES" w:eastAsia="es-AR"/>
        </w:rPr>
      </w:pPr>
      <w:r w:rsidRPr="005C3892">
        <w:rPr>
          <w:rFonts w:ascii="Arial" w:eastAsia="Times New Roman" w:hAnsi="Arial" w:cs="Arial"/>
          <w:lang w:val="es-ES" w:eastAsia="es-AR"/>
        </w:rPr>
        <w:t>Los resultados obtenidos ante esta pregunta evidencian una percepción mayoritariamente positiva sobre la efectividad de la interacción entre estudiantes presenciales y remotos. Un 78,6% de las respuestas se ubican en las categorías “De acuerdo” y “Totalmente de acuerdo”, lo que indica que más de tres cuartas partes del grupo considera que la dinámica híbrida funcionó de manera adecuada.</w:t>
      </w:r>
    </w:p>
    <w:p w:rsidR="005C3892" w:rsidRPr="005C3892" w:rsidRDefault="005C3892" w:rsidP="005C3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val="es-ES" w:eastAsia="es-AR"/>
        </w:rPr>
      </w:pPr>
      <w:r>
        <w:rPr>
          <w:rFonts w:ascii="Arial" w:eastAsia="Times New Roman" w:hAnsi="Arial" w:cs="Arial"/>
          <w:b/>
          <w:lang w:val="es-ES" w:eastAsia="es-AR"/>
        </w:rPr>
        <w:t xml:space="preserve">Gráfico 3 </w:t>
      </w:r>
      <w:r w:rsidRPr="005C3892">
        <w:rPr>
          <w:rFonts w:ascii="Arial" w:eastAsia="Times New Roman" w:hAnsi="Arial" w:cs="Arial"/>
          <w:b/>
          <w:lang w:val="es-ES" w:eastAsia="es-AR"/>
        </w:rPr>
        <w:t>¿Me siento más preparado/a para realizar la venopunción en pacientes reales después del taller?</w:t>
      </w:r>
    </w:p>
    <w:p w:rsidR="005C3892" w:rsidRPr="005C3892" w:rsidRDefault="005C3892" w:rsidP="005C389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val="es-ES" w:eastAsia="es-AR"/>
        </w:rPr>
      </w:pPr>
      <w:r w:rsidRPr="005C3892">
        <w:rPr>
          <w:rFonts w:ascii="Arial" w:eastAsia="Times New Roman" w:hAnsi="Arial" w:cs="Arial"/>
          <w:noProof/>
          <w:lang w:eastAsia="es-AR"/>
        </w:rPr>
        <w:drawing>
          <wp:inline distT="0" distB="0" distL="0" distR="0" wp14:anchorId="6D3FD60A" wp14:editId="45032841">
            <wp:extent cx="3292838" cy="1305138"/>
            <wp:effectExtent l="0" t="0" r="317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50167" cy="132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892" w:rsidRPr="005C3892" w:rsidRDefault="005C3892" w:rsidP="005C3892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AR"/>
        </w:rPr>
      </w:pPr>
      <w:r w:rsidRPr="005C3892">
        <w:rPr>
          <w:rFonts w:ascii="Arial" w:eastAsia="Times New Roman" w:hAnsi="Arial" w:cs="Arial"/>
          <w:b/>
          <w:lang w:val="es-ES" w:eastAsia="es-AR"/>
        </w:rPr>
        <w:t>Interpretación</w:t>
      </w:r>
    </w:p>
    <w:p w:rsidR="00F35B47" w:rsidRDefault="005C3892" w:rsidP="005C3892">
      <w:pPr>
        <w:spacing w:after="0" w:line="240" w:lineRule="auto"/>
        <w:jc w:val="both"/>
        <w:rPr>
          <w:rFonts w:ascii="Arial" w:eastAsia="Times New Roman" w:hAnsi="Arial" w:cs="Arial"/>
          <w:lang w:val="es-ES" w:eastAsia="es-AR"/>
        </w:rPr>
      </w:pPr>
      <w:r w:rsidRPr="005C3892">
        <w:rPr>
          <w:rFonts w:ascii="Arial" w:eastAsia="Times New Roman" w:hAnsi="Arial" w:cs="Arial"/>
          <w:lang w:val="es-ES" w:eastAsia="es-AR"/>
        </w:rPr>
        <w:t>Los resultados reflejan una percepción predominantemente positiva del impacto del taller en la autoconfianza de los estudiantes respecto a la aplicación clínica real de la técnica de venopunción:</w:t>
      </w:r>
    </w:p>
    <w:p w:rsidR="005C3892" w:rsidRDefault="005C3892" w:rsidP="005C3892">
      <w:pPr>
        <w:spacing w:after="0" w:line="240" w:lineRule="auto"/>
        <w:jc w:val="both"/>
        <w:rPr>
          <w:rFonts w:ascii="Arial" w:eastAsia="Times New Roman" w:hAnsi="Arial" w:cs="Arial"/>
          <w:lang w:val="es-ES" w:eastAsia="es-AR"/>
        </w:rPr>
      </w:pPr>
    </w:p>
    <w:p w:rsidR="005C3892" w:rsidRPr="005C3892" w:rsidRDefault="005C3892" w:rsidP="005C3892">
      <w:pPr>
        <w:spacing w:after="0" w:line="240" w:lineRule="auto"/>
        <w:jc w:val="both"/>
        <w:rPr>
          <w:rFonts w:ascii="Arial" w:eastAsia="Times New Roman" w:hAnsi="Arial" w:cs="Arial"/>
          <w:lang w:val="es-ES" w:eastAsia="es-AR"/>
        </w:rPr>
      </w:pPr>
    </w:p>
    <w:p w:rsidR="00302103" w:rsidRPr="00AA1116" w:rsidRDefault="00302103" w:rsidP="00821D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r w:rsidRPr="00AA1116">
        <w:rPr>
          <w:rFonts w:ascii="Arial" w:hAnsi="Arial" w:cs="Arial"/>
          <w:b/>
        </w:rPr>
        <w:lastRenderedPageBreak/>
        <w:t>Conclusiones</w:t>
      </w:r>
      <w:r w:rsidR="00F35B47" w:rsidRPr="00AA1116">
        <w:rPr>
          <w:rFonts w:ascii="Arial" w:hAnsi="Arial" w:cs="Arial"/>
          <w:b/>
        </w:rPr>
        <w:t>:</w:t>
      </w:r>
      <w:r w:rsidR="00F35B47" w:rsidRPr="00AA1116">
        <w:rPr>
          <w:rFonts w:ascii="Arial" w:eastAsia="Times New Roman" w:hAnsi="Arial" w:cs="Arial"/>
          <w:lang w:eastAsia="es-AR"/>
        </w:rPr>
        <w:t xml:space="preserve"> La experiencia demuestra que el aula híbrida es una herramienta eficaz para favorecer el aprendizaje significativo, la interdisciplinariedad y la equidad en el acceso a prácticas formativas. </w:t>
      </w:r>
      <w:r w:rsidR="006D4741" w:rsidRPr="00AA1116">
        <w:rPr>
          <w:rFonts w:ascii="Arial" w:eastAsia="Times New Roman" w:hAnsi="Arial" w:cs="Arial"/>
          <w:lang w:eastAsia="es-AR"/>
        </w:rPr>
        <w:t>La articulación entre estudiantes de Medicina y Enfermería en distintos niveles formativos promueve una visión integral del cuidado, favoreciendo la construcción de competencias clínicas, éticas y comunicacionales.</w:t>
      </w:r>
      <w:r w:rsidR="0019580A" w:rsidRPr="00AA1116">
        <w:rPr>
          <w:rFonts w:ascii="Arial" w:eastAsia="Times New Roman" w:hAnsi="Arial" w:cs="Arial"/>
          <w:lang w:eastAsia="es-AR"/>
        </w:rPr>
        <w:t xml:space="preserve"> </w:t>
      </w:r>
      <w:r w:rsidR="00F35B47" w:rsidRPr="00AA1116">
        <w:rPr>
          <w:rFonts w:ascii="Arial" w:eastAsia="Times New Roman" w:hAnsi="Arial" w:cs="Arial"/>
          <w:lang w:eastAsia="es-AR"/>
        </w:rPr>
        <w:t>Reforzar el diseño de actividades integradoras entre carreras fortalece la comprensión de contenidos transversales y prepara mejor a los futuros profesionales para el trabajo colaborativo en contextos reales.</w:t>
      </w:r>
    </w:p>
    <w:p w:rsidR="0026152B" w:rsidRPr="00AA1116" w:rsidRDefault="00302103" w:rsidP="00D648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hAnsi="Arial" w:cs="Arial"/>
          <w:b/>
        </w:rPr>
        <w:t>Referencias Bibliográficas</w:t>
      </w:r>
      <w:r w:rsidR="006D4741" w:rsidRPr="00AA1116">
        <w:rPr>
          <w:rFonts w:ascii="Arial" w:hAnsi="Arial" w:cs="Arial"/>
          <w:b/>
        </w:rPr>
        <w:t xml:space="preserve"> </w:t>
      </w:r>
      <w:r w:rsidR="006D4741" w:rsidRPr="00AA1116">
        <w:rPr>
          <w:rFonts w:ascii="Arial" w:eastAsia="Times New Roman" w:hAnsi="Arial" w:cs="Arial"/>
          <w:lang w:eastAsia="es-AR"/>
        </w:rPr>
        <w:t>(APA 7ª edición)</w:t>
      </w:r>
    </w:p>
    <w:p w:rsidR="0026152B" w:rsidRPr="00AA1116" w:rsidRDefault="0026152B" w:rsidP="0026152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 xml:space="preserve">1.Comisión Nacional de Evaluación y Acreditación Universitaria (CONEAU). (2021). </w:t>
      </w:r>
      <w:r w:rsidRPr="00AA1116">
        <w:rPr>
          <w:rFonts w:ascii="Arial" w:eastAsia="Times New Roman" w:hAnsi="Arial" w:cs="Arial"/>
          <w:i/>
          <w:iCs/>
          <w:lang w:eastAsia="es-AR"/>
        </w:rPr>
        <w:t>Consideraciones sobre las estrategias de hibridación en el marco de la evaluación y la acreditación universitaria frente al inicio del ciclo lectivo 2022</w:t>
      </w:r>
      <w:r w:rsidRPr="00AA1116">
        <w:rPr>
          <w:rFonts w:ascii="Arial" w:eastAsia="Times New Roman" w:hAnsi="Arial" w:cs="Arial"/>
          <w:lang w:eastAsia="es-AR"/>
        </w:rPr>
        <w:t>. CONEAU.</w:t>
      </w:r>
    </w:p>
    <w:p w:rsidR="0026152B" w:rsidRPr="00AA1116" w:rsidRDefault="0026152B" w:rsidP="0026152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 xml:space="preserve">2.Universidad Nacional del Nordeste (UNNE). (2023). </w:t>
      </w:r>
      <w:r w:rsidRPr="00AA1116">
        <w:rPr>
          <w:rFonts w:ascii="Arial" w:eastAsia="Times New Roman" w:hAnsi="Arial" w:cs="Arial"/>
          <w:i/>
          <w:iCs/>
          <w:lang w:eastAsia="es-AR"/>
        </w:rPr>
        <w:t>Escenarios combinados para el aprendizaje en la UNNE</w:t>
      </w:r>
      <w:r w:rsidRPr="00AA1116">
        <w:rPr>
          <w:rFonts w:ascii="Arial" w:eastAsia="Times New Roman" w:hAnsi="Arial" w:cs="Arial"/>
          <w:lang w:eastAsia="es-AR"/>
        </w:rPr>
        <w:t xml:space="preserve"> (Resolución RES-2023-114-CS#UNNE). Sistema de Educación a Distancia (SIED), Secretaría General Académica.</w:t>
      </w:r>
    </w:p>
    <w:p w:rsidR="0026152B" w:rsidRPr="00AA1116" w:rsidRDefault="0026152B" w:rsidP="0026152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 xml:space="preserve">3.Ministerio de Educación de la Nación Argentina &amp; Consejo Interuniversitario Nacional (CIN). (2022). </w:t>
      </w:r>
      <w:r w:rsidRPr="00AA1116">
        <w:rPr>
          <w:rFonts w:ascii="Arial" w:eastAsia="Times New Roman" w:hAnsi="Arial" w:cs="Arial"/>
          <w:i/>
          <w:iCs/>
          <w:lang w:eastAsia="es-AR"/>
        </w:rPr>
        <w:t>Orientaciones y propuestas en el marco de los procesos de reconfiguración de las opciones pedagógicas presencial-a distancia</w:t>
      </w:r>
      <w:r w:rsidRPr="00AA1116">
        <w:rPr>
          <w:rFonts w:ascii="Arial" w:eastAsia="Times New Roman" w:hAnsi="Arial" w:cs="Arial"/>
          <w:lang w:eastAsia="es-AR"/>
        </w:rPr>
        <w:t xml:space="preserve"> (Resolución CE Nº 1716/22).</w:t>
      </w:r>
    </w:p>
    <w:p w:rsidR="006D4741" w:rsidRPr="00AA1116" w:rsidRDefault="0026152B" w:rsidP="002615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4.</w:t>
      </w:r>
      <w:r w:rsidR="006D4741" w:rsidRPr="00AA1116">
        <w:rPr>
          <w:rFonts w:ascii="Arial" w:eastAsia="Times New Roman" w:hAnsi="Arial" w:cs="Arial"/>
          <w:lang w:eastAsia="es-AR"/>
        </w:rPr>
        <w:t xml:space="preserve">Bacich, L., &amp; Moran, J. (2015).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Ensino híbrido: personalização e tecnologia na educação</w:t>
      </w:r>
      <w:r w:rsidR="006D4741" w:rsidRPr="00AA1116">
        <w:rPr>
          <w:rFonts w:ascii="Arial" w:eastAsia="Times New Roman" w:hAnsi="Arial" w:cs="Arial"/>
          <w:lang w:eastAsia="es-AR"/>
        </w:rPr>
        <w:t>. Penso Editora.</w:t>
      </w:r>
    </w:p>
    <w:p w:rsidR="006D4741" w:rsidRPr="00AA1116" w:rsidRDefault="0026152B" w:rsidP="002615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5.</w:t>
      </w:r>
      <w:r w:rsidR="006D4741" w:rsidRPr="00AA1116">
        <w:rPr>
          <w:rFonts w:ascii="Arial" w:eastAsia="Times New Roman" w:hAnsi="Arial" w:cs="Arial"/>
          <w:lang w:eastAsia="es-AR"/>
        </w:rPr>
        <w:t xml:space="preserve">Bell Rodríguez, R. F., Orozco Fernández, I. I., &amp; Lema Cachinell, B. M. (2022). Interdisciplinariedad, aproximación conceptual y algunas implicaciones para la educación inclusiva.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Episteme</w:t>
      </w:r>
      <w:r w:rsidR="006D4741" w:rsidRPr="00AA1116">
        <w:rPr>
          <w:rFonts w:ascii="Arial" w:eastAsia="Times New Roman" w:hAnsi="Arial" w:cs="Arial"/>
          <w:lang w:eastAsia="es-AR"/>
        </w:rPr>
        <w:t xml:space="preserve">, 9(1), 101–116. </w:t>
      </w:r>
      <w:hyperlink r:id="rId10" w:history="1">
        <w:r w:rsidR="006D4741" w:rsidRPr="00AA1116">
          <w:rPr>
            <w:rFonts w:ascii="Arial" w:eastAsia="Times New Roman" w:hAnsi="Arial" w:cs="Arial"/>
            <w:color w:val="0000FF"/>
            <w:u w:val="single"/>
            <w:lang w:eastAsia="es-AR"/>
          </w:rPr>
          <w:t>Dialnet</w:t>
        </w:r>
      </w:hyperlink>
    </w:p>
    <w:p w:rsidR="006D4741" w:rsidRPr="00AA1116" w:rsidRDefault="0026152B" w:rsidP="002615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6.</w:t>
      </w:r>
      <w:r w:rsidR="006D4741" w:rsidRPr="00AA1116">
        <w:rPr>
          <w:rFonts w:ascii="Arial" w:eastAsia="Times New Roman" w:hAnsi="Arial" w:cs="Arial"/>
          <w:lang w:eastAsia="es-AR"/>
        </w:rPr>
        <w:t xml:space="preserve">Henao-Castaño, Á. M., Vergara-Escobar, O. J., &amp; Gómez-Ramírez, O. J. (2021). Humanización de la atención en salud: análisis del concepto.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Revista Ciencia y Cuidado</w:t>
      </w:r>
      <w:r w:rsidR="006D4741" w:rsidRPr="00AA1116">
        <w:rPr>
          <w:rFonts w:ascii="Arial" w:eastAsia="Times New Roman" w:hAnsi="Arial" w:cs="Arial"/>
          <w:lang w:eastAsia="es-AR"/>
        </w:rPr>
        <w:t xml:space="preserve">, 18(3), 84–95. </w:t>
      </w:r>
      <w:hyperlink r:id="rId11" w:history="1">
        <w:r w:rsidR="006D4741" w:rsidRPr="00AA1116">
          <w:rPr>
            <w:rFonts w:ascii="Arial" w:eastAsia="Times New Roman" w:hAnsi="Arial" w:cs="Arial"/>
            <w:color w:val="0000FF"/>
            <w:u w:val="single"/>
            <w:lang w:eastAsia="es-AR"/>
          </w:rPr>
          <w:t>https://doi.org/10.22463/17949831.2791</w:t>
        </w:r>
      </w:hyperlink>
    </w:p>
    <w:p w:rsidR="006D4741" w:rsidRPr="00AA1116" w:rsidRDefault="0026152B" w:rsidP="002615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7.</w:t>
      </w:r>
      <w:r w:rsidR="006D4741" w:rsidRPr="00AA1116">
        <w:rPr>
          <w:rFonts w:ascii="Arial" w:eastAsia="Times New Roman" w:hAnsi="Arial" w:cs="Arial"/>
          <w:lang w:eastAsia="es-AR"/>
        </w:rPr>
        <w:t xml:space="preserve">Labate, H., &amp; Opertti, R. (2023).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Políticas para una educación híbrida</w:t>
      </w:r>
      <w:r w:rsidR="006D4741" w:rsidRPr="00AA1116">
        <w:rPr>
          <w:rFonts w:ascii="Arial" w:eastAsia="Times New Roman" w:hAnsi="Arial" w:cs="Arial"/>
          <w:lang w:eastAsia="es-AR"/>
        </w:rPr>
        <w:t xml:space="preserve">. IIPE UNESCO. </w:t>
      </w:r>
      <w:hyperlink r:id="rId12" w:history="1">
        <w:r w:rsidR="006D4741" w:rsidRPr="00AA1116">
          <w:rPr>
            <w:rFonts w:ascii="Arial" w:eastAsia="Times New Roman" w:hAnsi="Arial" w:cs="Arial"/>
            <w:color w:val="0000FF"/>
            <w:u w:val="single"/>
            <w:lang w:eastAsia="es-AR"/>
          </w:rPr>
          <w:t>UNESCO</w:t>
        </w:r>
      </w:hyperlink>
    </w:p>
    <w:p w:rsidR="006D4741" w:rsidRPr="00AA1116" w:rsidRDefault="0026152B" w:rsidP="002615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8.</w:t>
      </w:r>
      <w:r w:rsidR="006D4741" w:rsidRPr="00AA1116">
        <w:rPr>
          <w:rFonts w:ascii="Arial" w:eastAsia="Times New Roman" w:hAnsi="Arial" w:cs="Arial"/>
          <w:lang w:eastAsia="es-AR"/>
        </w:rPr>
        <w:t xml:space="preserve">Lafaurie, M. M., et al. (2020).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Formación del profesional de enfermería en la humanización del cuidado: Estado del arte 2009–2020</w:t>
      </w:r>
      <w:r w:rsidR="006D4741" w:rsidRPr="00AA1116">
        <w:rPr>
          <w:rFonts w:ascii="Arial" w:eastAsia="Times New Roman" w:hAnsi="Arial" w:cs="Arial"/>
          <w:lang w:eastAsia="es-AR"/>
        </w:rPr>
        <w:t xml:space="preserve">. Universidad El Bosque. </w:t>
      </w:r>
      <w:hyperlink r:id="rId13" w:history="1">
        <w:r w:rsidR="006D4741" w:rsidRPr="00AA1116">
          <w:rPr>
            <w:rFonts w:ascii="Arial" w:eastAsia="Times New Roman" w:hAnsi="Arial" w:cs="Arial"/>
            <w:color w:val="0000FF"/>
            <w:u w:val="single"/>
            <w:lang w:eastAsia="es-AR"/>
          </w:rPr>
          <w:t>Repositorio</w:t>
        </w:r>
      </w:hyperlink>
    </w:p>
    <w:p w:rsidR="006D4741" w:rsidRPr="00AA1116" w:rsidRDefault="0026152B" w:rsidP="002615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9.</w:t>
      </w:r>
      <w:r w:rsidR="006D4741" w:rsidRPr="00AA1116">
        <w:rPr>
          <w:rFonts w:ascii="Arial" w:eastAsia="Times New Roman" w:hAnsi="Arial" w:cs="Arial"/>
          <w:lang w:eastAsia="es-AR"/>
        </w:rPr>
        <w:t xml:space="preserve">Muñoz-Verdezoto, P., Bodero-Arízaga, L., &amp; Salvador Brito, J. (2018). Bases teóricas de la interdisciplinariedad para la formación científico-investigativa de los estudiantes universitarios.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Revista Lasallista de Investigación</w:t>
      </w:r>
      <w:r w:rsidR="006D4741" w:rsidRPr="00AA1116">
        <w:rPr>
          <w:rFonts w:ascii="Arial" w:eastAsia="Times New Roman" w:hAnsi="Arial" w:cs="Arial"/>
          <w:lang w:eastAsia="es-AR"/>
        </w:rPr>
        <w:t xml:space="preserve">, 15(2), 340–350. </w:t>
      </w:r>
      <w:hyperlink r:id="rId14" w:history="1">
        <w:r w:rsidR="006D4741" w:rsidRPr="00AA1116">
          <w:rPr>
            <w:rFonts w:ascii="Arial" w:eastAsia="Times New Roman" w:hAnsi="Arial" w:cs="Arial"/>
            <w:color w:val="0000FF"/>
            <w:u w:val="single"/>
            <w:lang w:eastAsia="es-AR"/>
          </w:rPr>
          <w:t>https://doi.org/10.22507/rli.v15n2a26</w:t>
        </w:r>
      </w:hyperlink>
    </w:p>
    <w:p w:rsidR="00B40DF6" w:rsidRPr="00AA1116" w:rsidRDefault="0026152B" w:rsidP="00D648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AR"/>
        </w:rPr>
      </w:pPr>
      <w:r w:rsidRPr="00AA1116">
        <w:rPr>
          <w:rFonts w:ascii="Arial" w:eastAsia="Times New Roman" w:hAnsi="Arial" w:cs="Arial"/>
          <w:lang w:eastAsia="es-AR"/>
        </w:rPr>
        <w:t>10.</w:t>
      </w:r>
      <w:r w:rsidR="006D4741" w:rsidRPr="00AA1116">
        <w:rPr>
          <w:rFonts w:ascii="Arial" w:eastAsia="Times New Roman" w:hAnsi="Arial" w:cs="Arial"/>
          <w:lang w:eastAsia="es-AR"/>
        </w:rPr>
        <w:t xml:space="preserve">Sacavino, S. B., &amp; Candau, V. M. (2022). Enseñanza híbrida: desafíos y potencialidades. </w:t>
      </w:r>
      <w:r w:rsidR="006D4741" w:rsidRPr="00AA1116">
        <w:rPr>
          <w:rFonts w:ascii="Arial" w:eastAsia="Times New Roman" w:hAnsi="Arial" w:cs="Arial"/>
          <w:i/>
          <w:iCs/>
          <w:lang w:eastAsia="es-AR"/>
        </w:rPr>
        <w:t>Estudios Pedagógicos</w:t>
      </w:r>
      <w:r w:rsidR="006D4741" w:rsidRPr="00AA1116">
        <w:rPr>
          <w:rFonts w:ascii="Arial" w:eastAsia="Times New Roman" w:hAnsi="Arial" w:cs="Arial"/>
          <w:lang w:eastAsia="es-AR"/>
        </w:rPr>
        <w:t xml:space="preserve">, 48(2), 257–278. </w:t>
      </w:r>
      <w:hyperlink r:id="rId15" w:history="1">
        <w:r w:rsidR="006D4741" w:rsidRPr="00AA1116">
          <w:rPr>
            <w:rFonts w:ascii="Arial" w:eastAsia="Times New Roman" w:hAnsi="Arial" w:cs="Arial"/>
            <w:color w:val="0000FF"/>
            <w:u w:val="single"/>
            <w:lang w:eastAsia="es-AR"/>
          </w:rPr>
          <w:t>https://doi.org/10.4067/S0718-07052022000200257</w:t>
        </w:r>
      </w:hyperlink>
    </w:p>
    <w:sectPr w:rsidR="00B40DF6" w:rsidRPr="00AA1116"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223" w:rsidRDefault="00507223" w:rsidP="00AA1116">
      <w:pPr>
        <w:spacing w:after="0" w:line="240" w:lineRule="auto"/>
      </w:pPr>
      <w:r>
        <w:separator/>
      </w:r>
    </w:p>
  </w:endnote>
  <w:endnote w:type="continuationSeparator" w:id="0">
    <w:p w:rsidR="00507223" w:rsidRDefault="00507223" w:rsidP="00AA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2931371"/>
      <w:docPartObj>
        <w:docPartGallery w:val="Page Numbers (Bottom of Page)"/>
        <w:docPartUnique/>
      </w:docPartObj>
    </w:sdtPr>
    <w:sdtEndPr/>
    <w:sdtContent>
      <w:p w:rsidR="00AA1116" w:rsidRDefault="00AA111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A38" w:rsidRPr="00590A38">
          <w:rPr>
            <w:noProof/>
            <w:lang w:val="es-ES"/>
          </w:rPr>
          <w:t>1</w:t>
        </w:r>
        <w:r>
          <w:fldChar w:fldCharType="end"/>
        </w:r>
      </w:p>
    </w:sdtContent>
  </w:sdt>
  <w:p w:rsidR="00AA1116" w:rsidRDefault="00AA11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223" w:rsidRDefault="00507223" w:rsidP="00AA1116">
      <w:pPr>
        <w:spacing w:after="0" w:line="240" w:lineRule="auto"/>
      </w:pPr>
      <w:r>
        <w:separator/>
      </w:r>
    </w:p>
  </w:footnote>
  <w:footnote w:type="continuationSeparator" w:id="0">
    <w:p w:rsidR="00507223" w:rsidRDefault="00507223" w:rsidP="00AA1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5940"/>
    <w:multiLevelType w:val="multilevel"/>
    <w:tmpl w:val="75C2F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0417C"/>
    <w:multiLevelType w:val="multilevel"/>
    <w:tmpl w:val="0DB0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2088F"/>
    <w:multiLevelType w:val="multilevel"/>
    <w:tmpl w:val="10446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3811D9"/>
    <w:multiLevelType w:val="multilevel"/>
    <w:tmpl w:val="BAA85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723A68"/>
    <w:multiLevelType w:val="multilevel"/>
    <w:tmpl w:val="EE0E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100E20"/>
    <w:multiLevelType w:val="multilevel"/>
    <w:tmpl w:val="471E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6952E4"/>
    <w:multiLevelType w:val="multilevel"/>
    <w:tmpl w:val="9B02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351C6C"/>
    <w:multiLevelType w:val="multilevel"/>
    <w:tmpl w:val="1F10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D2603B"/>
    <w:multiLevelType w:val="multilevel"/>
    <w:tmpl w:val="228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103"/>
    <w:rsid w:val="000B4CFC"/>
    <w:rsid w:val="00103A26"/>
    <w:rsid w:val="0019580A"/>
    <w:rsid w:val="0026152B"/>
    <w:rsid w:val="00302103"/>
    <w:rsid w:val="004B44C0"/>
    <w:rsid w:val="00507223"/>
    <w:rsid w:val="00590A38"/>
    <w:rsid w:val="005C3892"/>
    <w:rsid w:val="0064409D"/>
    <w:rsid w:val="006D4741"/>
    <w:rsid w:val="006E1BA6"/>
    <w:rsid w:val="007C35C0"/>
    <w:rsid w:val="00821D6D"/>
    <w:rsid w:val="009E0F6E"/>
    <w:rsid w:val="00A84E81"/>
    <w:rsid w:val="00AA1116"/>
    <w:rsid w:val="00B6410B"/>
    <w:rsid w:val="00B741B1"/>
    <w:rsid w:val="00BC2EB9"/>
    <w:rsid w:val="00D151EB"/>
    <w:rsid w:val="00D6480F"/>
    <w:rsid w:val="00E22D45"/>
    <w:rsid w:val="00E6178F"/>
    <w:rsid w:val="00ED3DE9"/>
    <w:rsid w:val="00F35B47"/>
    <w:rsid w:val="00F44BEA"/>
    <w:rsid w:val="00FC4663"/>
    <w:rsid w:val="00FC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70D8E-43FA-4A59-A297-41689229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21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21D6D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A11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1116"/>
  </w:style>
  <w:style w:type="paragraph" w:styleId="Piedepgina">
    <w:name w:val="footer"/>
    <w:basedOn w:val="Normal"/>
    <w:link w:val="PiedepginaCar"/>
    <w:uiPriority w:val="99"/>
    <w:unhideWhenUsed/>
    <w:rsid w:val="00AA11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1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7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epositorio.unbosque.edu.co/bitstream/handle/20.500.12495/9038/Documento%20OK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unesdoc.unesco.org/ark:/48223/pf000038699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22463/17949831.279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4067/S0718-07052022000200257" TargetMode="External"/><Relationship Id="rId10" Type="http://schemas.openxmlformats.org/officeDocument/2006/relationships/hyperlink" Target="https://dialnet.unirioja.es/descarga/articulo/8298181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doi.org/10.22507/rli.v15n2a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1567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graciela roux</dc:creator>
  <cp:keywords/>
  <dc:description/>
  <cp:lastModifiedBy>graciela roux</cp:lastModifiedBy>
  <cp:revision>2</cp:revision>
  <dcterms:created xsi:type="dcterms:W3CDTF">2025-08-04T10:37:00Z</dcterms:created>
  <dcterms:modified xsi:type="dcterms:W3CDTF">2025-08-04T10:37:00Z</dcterms:modified>
</cp:coreProperties>
</file>