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themeOverride+xml" PartName="/word/theme/themeOverride6.xml"/>
  <Override ContentType="application/vnd.openxmlformats-officedocument.themeOverride+xml" PartName="/word/theme/themeOverride4.xml"/>
  <Override ContentType="application/vnd.openxmlformats-officedocument.themeOverride+xml" PartName="/word/theme/themeOverride5.xml"/>
  <Override ContentType="application/vnd.openxmlformats-officedocument.themeOverride+xml" PartName="/word/theme/themeOverride3.xml"/>
  <Override ContentType="application/vnd.openxmlformats-officedocument.themeOverride+xml" PartName="/word/theme/themeOverride2.xml"/>
  <Override ContentType="application/vnd.openxmlformats-officedocument.themeOverride+xml" PartName="/word/theme/themeOverride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ms-office.chartstyle+xml" PartName="/word/charts/style1.xml"/>
  <Override ContentType="application/vnd.ms-office.chartstyle+xml" PartName="/word/charts/style6.xml"/>
  <Override ContentType="application/vnd.ms-office.chartstyle+xml" PartName="/word/charts/style5.xml"/>
  <Override ContentType="application/vnd.ms-office.chartstyle+xml" PartName="/word/charts/style3.xml"/>
  <Override ContentType="application/vnd.ms-office.chartstyle+xml" PartName="/word/charts/style4.xml"/>
  <Override ContentType="application/vnd.ms-office.chartstyle+xml" PartName="/word/charts/style2.xml"/>
  <Override ContentType="application/vnd.ms-office.chartcolorstyle+xml" PartName="/word/charts/colors6.xml"/>
  <Override ContentType="application/vnd.ms-office.chartcolorstyle+xml" PartName="/word/charts/colors5.xml"/>
  <Override ContentType="application/vnd.ms-office.chartcolorstyle+xml" PartName="/word/charts/colors3.xml"/>
  <Override ContentType="application/vnd.ms-office.chartcolorstyle+xml" PartName="/word/charts/colors4.xml"/>
  <Override ContentType="application/vnd.ms-office.chartcolorstyle+xml" PartName="/word/charts/colors2.xml"/>
  <Override ContentType="application/vnd.ms-office.chartcolorstyle+xml" PartName="/word/charts/colors1.xml"/>
  <Override ContentType="application/vnd.openxmlformats-officedocument.wordprocessingml.document.main+xml" PartName="/word/document.xml"/>
  <Override ContentType="application/vnd.openxmlformats-officedocument.drawingml.chart+xml" PartName="/word/charts/chart6.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drawingml.chart+xml" PartName="/word/charts/chart4.xml"/>
  <Override ContentType="application/vnd.openxmlformats-officedocument.drawingml.chart+xml" PartName="/word/charts/chart5.xml"/>
  <Override ContentType="application/vnd.openxmlformats-officedocument.drawingml.chart+xml" PartName="/word/charts/chart3.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04"/>
        <w:tblGridChange w:id="0">
          <w:tblGrid>
            <w:gridCol w:w="8504"/>
          </w:tblGrid>
        </w:tblGridChange>
      </w:tblGrid>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Entre pantallas y pizarras: Rendimiento y percepción estudiantil en la transición de Fisiopatología (2020-2024)</w:t>
            </w:r>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Autora: Patricia Noemí Goicoechea (</w:t>
            </w:r>
            <w:hyperlink r:id="rId6">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patricia.goicoechea@comunidad.unne.edu.ar</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br w:type="textWrapping"/>
              <w:t xml:space="preserve">Coautores: Silvina María Martinez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silvinamarmar@gmail.com</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Ariel Leyes Pedrozo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arielleyesp@exa.unne.edu.ar</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PERTENENCIA INSTITUCIONAL: Facultad de Ciencias Exactas y Naturales y Agrimensura, Universidad Nacional del Nordeste (UNNE)</w:t>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EJE 8 - Reflexiones en torno a la educación con tecnologías en las Ciencias de la Salud.</w:t>
            </w:r>
          </w:p>
        </w:tc>
      </w:tr>
    </w:tbl>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Rule="auto"/>
        <w:rPr>
          <w:rFonts w:ascii="Arial" w:cs="Arial" w:eastAsia="Arial" w:hAnsi="Arial"/>
        </w:rPr>
      </w:pPr>
      <w:r w:rsidDel="00000000" w:rsidR="00000000" w:rsidRPr="00000000">
        <w:rPr>
          <w:rFonts w:ascii="Arial" w:cs="Arial" w:eastAsia="Arial" w:hAnsi="Arial"/>
          <w:color w:val="000000"/>
          <w:rtl w:val="0"/>
        </w:rPr>
        <w:t xml:space="preserve">PALABRAS CLAVE: </w:t>
      </w:r>
      <w:r w:rsidDel="00000000" w:rsidR="00000000" w:rsidRPr="00000000">
        <w:rPr>
          <w:rFonts w:ascii="Arial" w:cs="Arial" w:eastAsia="Arial" w:hAnsi="Arial"/>
          <w:rtl w:val="0"/>
        </w:rPr>
        <w:t xml:space="preserve">educación universitaria, virtualidad, percepción estudiantil</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Rule="auto"/>
        <w:rPr>
          <w:rFonts w:ascii="Arial" w:cs="Arial" w:eastAsia="Arial" w:hAnsi="Arial"/>
          <w:i w:val="1"/>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INTRODUCCIÓN</w:t>
      </w:r>
    </w:p>
    <w:p w:rsidR="00000000" w:rsidDel="00000000" w:rsidP="00000000" w:rsidRDefault="00000000" w:rsidRPr="00000000" w14:paraId="0000000A">
      <w:pPr>
        <w:spacing w:after="160" w:lineRule="auto"/>
        <w:jc w:val="both"/>
        <w:rPr>
          <w:rFonts w:ascii="Arial" w:cs="Arial" w:eastAsia="Arial" w:hAnsi="Arial"/>
        </w:rPr>
      </w:pPr>
      <w:r w:rsidDel="00000000" w:rsidR="00000000" w:rsidRPr="00000000">
        <w:rPr>
          <w:rFonts w:ascii="Arial" w:cs="Arial" w:eastAsia="Arial" w:hAnsi="Arial"/>
          <w:rtl w:val="0"/>
        </w:rPr>
        <w:t xml:space="preserve">La crisis sanitaria global por COVID-19 desencadenó una transformación sin precedentes en la educación superior, llevando a una virtualidad forzada y, posteriormente, a la construcción de modelos híbridos en el regreso a la presencialidad. Esta virtualidad, implementada en emergencia, exigió nuevas estrategias didácticas, desarrollo de competencias digitales, revisión de los sistemas de acompañamiento y evaluación (UNESCO IESALC, 2020; Lira et al., 2022). En carreras como Bioquímica, donde el contacto humano y el aprendizaje experiencial son centrales, el desafío implicó reconfigurar la propuesta pedagógica, sostener la motivación y garantizar la calidad. La literatura internacional reporta que, con recursos adecuados y un fuerte acompañamiento docente, el aprendizaje puede sostenerse en escenarios virtuales, aunque persisten interrogantes sobre el impacto vivencial y la percepción de calidad (Radu et al., 2020; Chiecher et al., 2008). La experiencia de Fisiopatología en la UNNE analizada, aporta evidencia valiosa sobre el tránsito “de la virtualidad al reencuentro”, con énfasis en la mirada de los estudiantes. </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OBJETIVOS</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pacing w:after="0" w:lineRule="auto"/>
        <w:ind w:left="142" w:hanging="142"/>
        <w:rPr>
          <w:color w:val="000000"/>
          <w:highlight w:val="white"/>
        </w:rPr>
      </w:pPr>
      <w:r w:rsidDel="00000000" w:rsidR="00000000" w:rsidRPr="00000000">
        <w:rPr>
          <w:rFonts w:ascii="Arial" w:cs="Arial" w:eastAsia="Arial" w:hAnsi="Arial"/>
          <w:color w:val="000000"/>
          <w:highlight w:val="white"/>
          <w:rtl w:val="0"/>
        </w:rPr>
        <w:t xml:space="preserve">Analizar comparativamente el rendimiento académico y la percepción estudiantil entre la virtualidad (2020-2021) y la presencialidad (2022-2024) en Fisiopatología.</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pacing w:after="0" w:lineRule="auto"/>
        <w:ind w:left="142" w:hanging="142"/>
        <w:rPr>
          <w:color w:val="000000"/>
          <w:highlight w:val="white"/>
        </w:rPr>
      </w:pPr>
      <w:r w:rsidDel="00000000" w:rsidR="00000000" w:rsidRPr="00000000">
        <w:rPr>
          <w:rFonts w:ascii="Arial" w:cs="Arial" w:eastAsia="Arial" w:hAnsi="Arial"/>
          <w:color w:val="000000"/>
          <w:highlight w:val="white"/>
          <w:rtl w:val="0"/>
        </w:rPr>
        <w:t xml:space="preserve">Interpretar los resultados a la luz de la bibliografía actual sobre educación híbrida y tecnologías aplicadas a la docencia en ciencias de la salud.</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pacing w:after="0" w:lineRule="auto"/>
        <w:ind w:left="142" w:hanging="142"/>
        <w:rPr>
          <w:color w:val="000000"/>
        </w:rPr>
      </w:pPr>
      <w:r w:rsidDel="00000000" w:rsidR="00000000" w:rsidRPr="00000000">
        <w:rPr>
          <w:rFonts w:ascii="Arial" w:cs="Arial" w:eastAsia="Arial" w:hAnsi="Arial"/>
          <w:color w:val="000000"/>
          <w:highlight w:val="white"/>
          <w:rtl w:val="0"/>
        </w:rPr>
        <w:t xml:space="preserve">Reflexionar sobre los aprendizajes institucionales y pedagógicos derivados de esta experiencia</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MATERIALES Y MÉTODOS</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rtl w:val="0"/>
        </w:rPr>
        <w:t xml:space="preserve">Se realizó un estudio descriptivo y comparativo, procesando los datos de 100 alumnos encuestados entre 2020 y 2024 en la asignatura Fisiopatología, UNNE. Se analizaron indicadores de rendimiento académico (promedio, porcentaje de promoción) y respuestas a encuestas de percepción, diferenciando dimensiones como satisfacción general, valoración de la virtualidad, metodología de Aprendizaje Basado en Problemas (ABP) y vínculo docente-alumno. El análisis diferenció resultados por año y modalidad de cursado, integrando interpretación crítica y referencias bibliográficas internacionales.</w:t>
        <w:br w:type="textWrapping"/>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RESULTADOS Y DISCUSIÓN</w:t>
      </w:r>
    </w:p>
    <w:p w:rsidR="00000000" w:rsidDel="00000000" w:rsidP="00000000" w:rsidRDefault="00000000" w:rsidRPr="00000000" w14:paraId="00000013">
      <w:pPr>
        <w:spacing w:after="0" w:lineRule="auto"/>
        <w:rPr>
          <w:rFonts w:ascii="Arial" w:cs="Arial" w:eastAsia="Arial" w:hAnsi="Arial"/>
        </w:rPr>
      </w:pPr>
      <w:r w:rsidDel="00000000" w:rsidR="00000000" w:rsidRPr="00000000">
        <w:rPr>
          <w:rFonts w:ascii="Arial" w:cs="Arial" w:eastAsia="Arial" w:hAnsi="Arial"/>
          <w:b w:val="1"/>
          <w:rtl w:val="0"/>
        </w:rPr>
        <w:t xml:space="preserve">Distribución de la muestra y modalidades</w:t>
      </w:r>
      <w:r w:rsidDel="00000000" w:rsidR="00000000" w:rsidRPr="00000000">
        <w:rPr>
          <w:rFonts w:ascii="Arial" w:cs="Arial" w:eastAsia="Arial" w:hAnsi="Arial"/>
          <w:rtl w:val="0"/>
        </w:rPr>
        <w:br w:type="textWrapping"/>
        <w:t xml:space="preserve">Del total de 100 estudiantes encuestados, el 45% cursó Fisiopatología durante la virtualidad (2020-2021), mientras que otro 55% corresponde a la presencialidad (2022-2024). Esta distribución equitativa facilita la comparación entre ambas modalidades. Gráfico Nº1. Análisis crítico: La distribución relativamente equilibrada entre cohortes virtuales (45 %) y presenciales (55 %) fortalece la validez comparativa y minimiza sesgos de tamaño muestral (Hodges et al., 2020).</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Pr>
        <w:drawing>
          <wp:inline distB="0" distT="0" distL="0" distR="0">
            <wp:extent cx="4236720" cy="1866900"/>
            <wp:effectExtent b="0" l="0" r="11430" t="0"/>
            <wp:docPr id="1" name=""/>
            <a:graphic>
              <a:graphicData uri="http://schemas.openxmlformats.org/drawingml/2006/chart">
                <c:chart r:id="rId9"/>
              </a:graphicData>
            </a:graphic>
          </wp:inline>
        </w:drawing>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Rule="auto"/>
        <w:rPr>
          <w:rFonts w:ascii="Arial" w:cs="Arial" w:eastAsia="Arial" w:hAnsi="Arial"/>
          <w:b w:val="1"/>
          <w:i w:val="1"/>
          <w:color w:val="000000"/>
          <w:sz w:val="20"/>
          <w:szCs w:val="20"/>
        </w:rPr>
      </w:pPr>
      <w:r w:rsidDel="00000000" w:rsidR="00000000" w:rsidRPr="00000000">
        <w:rPr>
          <w:rFonts w:ascii="Arial" w:cs="Arial" w:eastAsia="Arial" w:hAnsi="Arial"/>
          <w:i w:val="1"/>
          <w:sz w:val="20"/>
          <w:szCs w:val="20"/>
          <w:rtl w:val="0"/>
        </w:rPr>
        <w:t xml:space="preserve">           Gráfico Nº1: Porcentaje de alumnos encuestados por año</w:t>
      </w:r>
      <w:r w:rsidDel="00000000" w:rsidR="00000000" w:rsidRPr="00000000">
        <w:rPr>
          <w:rtl w:val="0"/>
        </w:rPr>
      </w:r>
    </w:p>
    <w:p w:rsidR="00000000" w:rsidDel="00000000" w:rsidP="00000000" w:rsidRDefault="00000000" w:rsidRPr="00000000" w14:paraId="00000016">
      <w:pPr>
        <w:spacing w:after="0" w:lineRule="auto"/>
        <w:rPr>
          <w:rFonts w:ascii="Arial" w:cs="Arial" w:eastAsia="Arial" w:hAnsi="Arial"/>
        </w:rPr>
      </w:pPr>
      <w:r w:rsidDel="00000000" w:rsidR="00000000" w:rsidRPr="00000000">
        <w:rPr>
          <w:rFonts w:ascii="Arial" w:cs="Arial" w:eastAsia="Arial" w:hAnsi="Arial"/>
          <w:b w:val="1"/>
          <w:rtl w:val="0"/>
        </w:rPr>
        <w:t xml:space="preserve">Rendimiento académico</w:t>
      </w:r>
      <w:r w:rsidDel="00000000" w:rsidR="00000000" w:rsidRPr="00000000">
        <w:rPr>
          <w:rFonts w:ascii="Arial" w:cs="Arial" w:eastAsia="Arial" w:hAnsi="Arial"/>
          <w:rtl w:val="0"/>
        </w:rPr>
        <w:br w:type="textWrapping"/>
        <w:t xml:space="preserve">Los promedios de calificación oscilaron entre 8,9 y 9,1, sin diferencias significativas entre virtualidad y presencialidad. El porcentaje de alumnos promocionados (nota ≥8) superó el 97% en todos los años. Gráfico Nº2. Este hallazgo confirma que la transición forzada a la virtualidad no afectó el desempeño global, alineándose con estudios previos que resaltan el rol del acompañamiento docente y el uso de Tecnologías de la Información y Comunicación (Lira et al., 2022; Radu et al., 2020).</w:t>
      </w:r>
    </w:p>
    <w:p w:rsidR="00000000" w:rsidDel="00000000" w:rsidP="00000000" w:rsidRDefault="00000000" w:rsidRPr="00000000" w14:paraId="00000017">
      <w:pPr>
        <w:spacing w:after="0" w:lineRule="auto"/>
        <w:rPr>
          <w:rFonts w:ascii="Arial" w:cs="Arial" w:eastAsia="Arial" w:hAnsi="Arial"/>
        </w:rPr>
      </w:pPr>
      <w:r w:rsidDel="00000000" w:rsidR="00000000" w:rsidRPr="00000000">
        <w:rPr>
          <w:rFonts w:ascii="Arial" w:cs="Arial" w:eastAsia="Arial" w:hAnsi="Arial"/>
          <w:rtl w:val="0"/>
        </w:rPr>
        <w:t xml:space="preserve">Análisis crítico: La estabilidad del promedio (8,9–9,1) indica que la emergencia virtual no deterioró el desempeño. Coincide con reportes que muestran variaciones menores a 0,3 puntos con acompañamiento docente efectivo (Means &amp; Neisler, 2021).</w:t>
      </w:r>
    </w:p>
    <w:p w:rsidR="00000000" w:rsidDel="00000000" w:rsidP="00000000" w:rsidRDefault="00000000" w:rsidRPr="00000000" w14:paraId="00000018">
      <w:pPr>
        <w:spacing w:after="0" w:lineRule="auto"/>
        <w:rPr>
          <w:rFonts w:ascii="Arial" w:cs="Arial" w:eastAsia="Arial" w:hAnsi="Arial"/>
        </w:rPr>
      </w:pPr>
      <w:r w:rsidDel="00000000" w:rsidR="00000000" w:rsidRPr="00000000">
        <w:rPr>
          <w:rFonts w:ascii="Arial" w:cs="Arial" w:eastAsia="Arial" w:hAnsi="Arial"/>
        </w:rPr>
        <w:drawing>
          <wp:inline distB="0" distT="0" distL="0" distR="0">
            <wp:extent cx="3451860" cy="1737360"/>
            <wp:effectExtent b="3810" l="0" r="15240" t="0"/>
            <wp:docPr id="3" name=""/>
            <a:graphic>
              <a:graphicData uri="http://schemas.openxmlformats.org/drawingml/2006/chart">
                <c:chart r:id="rId10"/>
              </a:graphicData>
            </a:graphic>
          </wp:inline>
        </w:drawing>
      </w:r>
      <w:r w:rsidDel="00000000" w:rsidR="00000000" w:rsidRPr="00000000">
        <w:rPr>
          <w:rtl w:val="0"/>
        </w:rPr>
      </w:r>
    </w:p>
    <w:p w:rsidR="00000000" w:rsidDel="00000000" w:rsidP="00000000" w:rsidRDefault="00000000" w:rsidRPr="00000000" w14:paraId="00000019">
      <w:pPr>
        <w:spacing w:after="160"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             Gráfico Nº2: Promedio de notas finales por año</w:t>
      </w:r>
    </w:p>
    <w:p w:rsidR="00000000" w:rsidDel="00000000" w:rsidP="00000000" w:rsidRDefault="00000000" w:rsidRPr="00000000" w14:paraId="0000001A">
      <w:pPr>
        <w:spacing w:after="0" w:lineRule="auto"/>
        <w:rPr>
          <w:rFonts w:ascii="Arial" w:cs="Arial" w:eastAsia="Arial" w:hAnsi="Arial"/>
        </w:rPr>
      </w:pPr>
      <w:r w:rsidDel="00000000" w:rsidR="00000000" w:rsidRPr="00000000">
        <w:rPr>
          <w:rFonts w:ascii="Arial" w:cs="Arial" w:eastAsia="Arial" w:hAnsi="Arial"/>
          <w:b w:val="1"/>
          <w:rtl w:val="0"/>
        </w:rPr>
        <w:t xml:space="preserve">Percepción de los estudiantes</w:t>
      </w:r>
      <w:r w:rsidDel="00000000" w:rsidR="00000000" w:rsidRPr="00000000">
        <w:rPr>
          <w:rFonts w:ascii="Arial" w:cs="Arial" w:eastAsia="Arial" w:hAnsi="Arial"/>
          <w:rtl w:val="0"/>
        </w:rPr>
        <w:br w:type="textWrapping"/>
        <w:t xml:space="preserve">La satisfacción general fue consistentemente alta, con más del 90% de estudiantes calificando su experiencia como muy satisfactoria o satisfactoria tanto en virtualidad como en presencialidad. GráficoNº3. </w:t>
      </w:r>
    </w:p>
    <w:p w:rsidR="00000000" w:rsidDel="00000000" w:rsidP="00000000" w:rsidRDefault="00000000" w:rsidRPr="00000000" w14:paraId="0000001B">
      <w:pPr>
        <w:spacing w:after="0" w:lineRule="auto"/>
        <w:rPr>
          <w:rFonts w:ascii="Arial" w:cs="Arial" w:eastAsia="Arial" w:hAnsi="Arial"/>
        </w:rPr>
      </w:pPr>
      <w:r w:rsidDel="00000000" w:rsidR="00000000" w:rsidRPr="00000000">
        <w:rPr>
          <w:rFonts w:ascii="Arial" w:cs="Arial" w:eastAsia="Arial" w:hAnsi="Arial"/>
          <w:rtl w:val="0"/>
        </w:rPr>
        <w:t xml:space="preserve">Análisis crítico: Una satisfacción &gt;90 % respalda la relevancia de la presencia social y el soporte comunitario como predictores de bienestar académico (Daniel, 2020).</w:t>
      </w:r>
    </w:p>
    <w:p w:rsidR="00000000" w:rsidDel="00000000" w:rsidP="00000000" w:rsidRDefault="00000000" w:rsidRPr="00000000" w14:paraId="0000001C">
      <w:pPr>
        <w:spacing w:after="0" w:before="120" w:lineRule="auto"/>
        <w:rPr>
          <w:rFonts w:ascii="Arial" w:cs="Arial" w:eastAsia="Arial" w:hAnsi="Arial"/>
        </w:rPr>
      </w:pPr>
      <w:r w:rsidDel="00000000" w:rsidR="00000000" w:rsidRPr="00000000">
        <w:rPr>
          <w:rFonts w:ascii="Arial" w:cs="Arial" w:eastAsia="Arial" w:hAnsi="Arial"/>
        </w:rPr>
        <w:drawing>
          <wp:inline distB="0" distT="0" distL="0" distR="0">
            <wp:extent cx="5166360" cy="1478280"/>
            <wp:effectExtent b="26670" l="0" r="15240" t="19050"/>
            <wp:docPr id="2" name=""/>
            <a:graphic>
              <a:graphicData uri="http://schemas.openxmlformats.org/drawingml/2006/chart">
                <c:chart r:id="rId11"/>
              </a:graphicData>
            </a:graphic>
          </wp:inline>
        </w:drawing>
      </w:r>
      <w:r w:rsidDel="00000000" w:rsidR="00000000" w:rsidRPr="00000000">
        <w:rPr>
          <w:rFonts w:ascii="Arial" w:cs="Arial" w:eastAsia="Arial" w:hAnsi="Arial"/>
          <w:rtl w:val="0"/>
        </w:rPr>
        <w:br w:type="textWrapping"/>
      </w:r>
      <w:r w:rsidDel="00000000" w:rsidR="00000000" w:rsidRPr="00000000">
        <w:rPr>
          <w:rFonts w:ascii="Arial" w:cs="Arial" w:eastAsia="Arial" w:hAnsi="Arial"/>
          <w:i w:val="1"/>
          <w:sz w:val="20"/>
          <w:szCs w:val="20"/>
          <w:rtl w:val="0"/>
        </w:rPr>
        <w:t xml:space="preserve">Gráfico Nº3: Satisfacción general: valoración de la estrategias de enseñanza y recursos didácticos utilizados por los docentes. </w:t>
      </w: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rtl w:val="0"/>
        </w:rPr>
        <w:t xml:space="preserve">La valoración de las estrategias de enseñanza y recursos didácticos utilizados en la virtualidad alcanzó picos del 93% de opiniones favorables durante 2020-2021 y se mantuvo positiva incluso al regresar al aula, sugiriendo que los recursos digitales siguieron siendo valorados como complemento.</w:t>
        <w:br w:type="textWrapping"/>
      </w:r>
      <w:r w:rsidDel="00000000" w:rsidR="00000000" w:rsidRPr="00000000">
        <w:rPr>
          <w:rFonts w:ascii="Arial" w:cs="Arial" w:eastAsia="Arial" w:hAnsi="Arial"/>
          <w:b w:val="1"/>
          <w:rtl w:val="0"/>
        </w:rPr>
        <w:br w:type="textWrapping"/>
        <w:t xml:space="preserve">El Aprendizaje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Basado en Problemas</w:t>
      </w:r>
      <w:r w:rsidDel="00000000" w:rsidR="00000000" w:rsidRPr="00000000">
        <w:rPr>
          <w:rFonts w:ascii="Arial" w:cs="Arial" w:eastAsia="Arial" w:hAnsi="Arial"/>
          <w:rtl w:val="0"/>
        </w:rPr>
        <w:t xml:space="preserve"> fue apreciado por más del 90% de la muestra en todos los años, señalando su importancia para la autonomía y el razonamiento clínico. Gráfico Nº4.</w:t>
      </w:r>
    </w:p>
    <w:p w:rsidR="00000000" w:rsidDel="00000000" w:rsidP="00000000" w:rsidRDefault="00000000" w:rsidRPr="00000000" w14:paraId="0000001D">
      <w:pPr>
        <w:spacing w:after="0" w:lineRule="auto"/>
        <w:rPr>
          <w:rFonts w:ascii="Arial" w:cs="Arial" w:eastAsia="Arial" w:hAnsi="Arial"/>
        </w:rPr>
      </w:pPr>
      <w:r w:rsidDel="00000000" w:rsidR="00000000" w:rsidRPr="00000000">
        <w:rPr>
          <w:rFonts w:ascii="Arial" w:cs="Arial" w:eastAsia="Arial" w:hAnsi="Arial"/>
          <w:rtl w:val="0"/>
        </w:rPr>
        <w:t xml:space="preserve">Análisis crítico: La aceptación del ABP (mayor al 90 %) supera valores de referencia en STEM (Science, Technology, Engineering and Mathematics) (~80 %) (Freeman et al., 2014), reflejando su pertinencia para fomentar autonomía y razonamiento clínico.</w:t>
      </w:r>
    </w:p>
    <w:p w:rsidR="00000000" w:rsidDel="00000000" w:rsidP="00000000" w:rsidRDefault="00000000" w:rsidRPr="00000000" w14:paraId="0000001E">
      <w:pPr>
        <w:spacing w:after="160" w:lineRule="auto"/>
        <w:rPr>
          <w:rFonts w:ascii="Arial" w:cs="Arial" w:eastAsia="Arial" w:hAnsi="Arial"/>
          <w:i w:val="1"/>
          <w:sz w:val="20"/>
          <w:szCs w:val="20"/>
        </w:rPr>
      </w:pPr>
      <w:r w:rsidDel="00000000" w:rsidR="00000000" w:rsidRPr="00000000">
        <w:rPr>
          <w:rFonts w:ascii="Arial" w:cs="Arial" w:eastAsia="Arial" w:hAnsi="Arial"/>
        </w:rPr>
        <w:drawing>
          <wp:inline distB="0" distT="0" distL="0" distR="0">
            <wp:extent cx="5490845" cy="2302510"/>
            <wp:effectExtent b="2540" l="0" r="14605" t="0"/>
            <wp:docPr id="5" name=""/>
            <a:graphic>
              <a:graphicData uri="http://schemas.openxmlformats.org/drawingml/2006/chart">
                <c:chart r:id="rId12"/>
              </a:graphicData>
            </a:graphic>
          </wp:inline>
        </w:drawing>
      </w:r>
      <w:r w:rsidDel="00000000" w:rsidR="00000000" w:rsidRPr="00000000">
        <w:rPr>
          <w:rFonts w:ascii="Arial" w:cs="Arial" w:eastAsia="Arial" w:hAnsi="Arial"/>
          <w:rtl w:val="0"/>
        </w:rPr>
        <w:br w:type="textWrapping"/>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i w:val="1"/>
          <w:sz w:val="20"/>
          <w:szCs w:val="20"/>
          <w:rtl w:val="0"/>
        </w:rPr>
        <w:t xml:space="preserve">      Gráfico Nº4: Valoración del Aprendizaje Basado en Problemas.</w:t>
      </w:r>
    </w:p>
    <w:p w:rsidR="00000000" w:rsidDel="00000000" w:rsidP="00000000" w:rsidRDefault="00000000" w:rsidRPr="00000000" w14:paraId="0000001F">
      <w:pPr>
        <w:spacing w:after="0" w:lineRule="auto"/>
        <w:rPr>
          <w:rFonts w:ascii="Arial" w:cs="Arial" w:eastAsia="Arial" w:hAnsi="Arial"/>
        </w:rPr>
      </w:pPr>
      <w:r w:rsidDel="00000000" w:rsidR="00000000" w:rsidRPr="00000000">
        <w:rPr>
          <w:rFonts w:ascii="Arial" w:cs="Arial" w:eastAsia="Arial" w:hAnsi="Arial"/>
          <w:rtl w:val="0"/>
        </w:rPr>
        <w:t xml:space="preserve">El </w:t>
      </w:r>
      <w:r w:rsidDel="00000000" w:rsidR="00000000" w:rsidRPr="00000000">
        <w:rPr>
          <w:rFonts w:ascii="Arial" w:cs="Arial" w:eastAsia="Arial" w:hAnsi="Arial"/>
          <w:b w:val="1"/>
          <w:rtl w:val="0"/>
        </w:rPr>
        <w:t xml:space="preserve">vínculo docente-alumno</w:t>
      </w:r>
      <w:r w:rsidDel="00000000" w:rsidR="00000000" w:rsidRPr="00000000">
        <w:rPr>
          <w:rFonts w:ascii="Arial" w:cs="Arial" w:eastAsia="Arial" w:hAnsi="Arial"/>
          <w:rtl w:val="0"/>
        </w:rPr>
        <w:t xml:space="preserve"> fue uno de los aspectos mejor puntuados, especialmente en la virtualidad (gracias a la tutoría y la comunicación personalizada), y mantuvo su relevancia en la presencialidad. Gráfico Nº5.</w:t>
      </w:r>
    </w:p>
    <w:p w:rsidR="00000000" w:rsidDel="00000000" w:rsidP="00000000" w:rsidRDefault="00000000" w:rsidRPr="00000000" w14:paraId="00000020">
      <w:pPr>
        <w:spacing w:after="0" w:lineRule="auto"/>
        <w:rPr>
          <w:rFonts w:ascii="Arial" w:cs="Arial" w:eastAsia="Arial" w:hAnsi="Arial"/>
        </w:rPr>
      </w:pPr>
      <w:r w:rsidDel="00000000" w:rsidR="00000000" w:rsidRPr="00000000">
        <w:rPr>
          <w:rFonts w:ascii="Arial" w:cs="Arial" w:eastAsia="Arial" w:hAnsi="Arial"/>
          <w:rtl w:val="0"/>
        </w:rPr>
        <w:t xml:space="preserve">Análisis crítico: El fuerte vínculo docente</w:t>
      </w:r>
      <w:r w:rsidDel="00000000" w:rsidR="00000000" w:rsidRPr="00000000">
        <w:rPr>
          <w:rFonts w:ascii="Cambria Math" w:cs="Cambria Math" w:eastAsia="Cambria Math" w:hAnsi="Cambria Math"/>
          <w:rtl w:val="0"/>
        </w:rPr>
        <w:t xml:space="preserve">‑</w:t>
      </w:r>
      <w:r w:rsidDel="00000000" w:rsidR="00000000" w:rsidRPr="00000000">
        <w:rPr>
          <w:rFonts w:ascii="Arial" w:cs="Arial" w:eastAsia="Arial" w:hAnsi="Arial"/>
          <w:rtl w:val="0"/>
        </w:rPr>
        <w:t xml:space="preserve">alumno, destacado en virtualidad, confirma que la tutoría sincrónica y el feedback individualizado son críticos para la motivación y el compromiso (Prince, 2004).</w:t>
      </w:r>
    </w:p>
    <w:p w:rsidR="00000000" w:rsidDel="00000000" w:rsidP="00000000" w:rsidRDefault="00000000" w:rsidRPr="00000000" w14:paraId="00000021">
      <w:pPr>
        <w:spacing w:after="0" w:lineRule="auto"/>
        <w:rPr>
          <w:rFonts w:ascii="Arial" w:cs="Arial" w:eastAsia="Arial" w:hAnsi="Arial"/>
        </w:rPr>
      </w:pPr>
      <w:r w:rsidDel="00000000" w:rsidR="00000000" w:rsidRPr="00000000">
        <w:rPr>
          <w:rFonts w:ascii="Arial" w:cs="Arial" w:eastAsia="Arial" w:hAnsi="Arial"/>
        </w:rPr>
        <w:drawing>
          <wp:inline distB="0" distT="0" distL="0" distR="0">
            <wp:extent cx="5490845" cy="2225040"/>
            <wp:effectExtent b="3810" l="0" r="14605" t="0"/>
            <wp:docPr id="4" name=""/>
            <a:graphic>
              <a:graphicData uri="http://schemas.openxmlformats.org/drawingml/2006/chart">
                <c:chart r:id="rId13"/>
              </a:graphicData>
            </a:graphic>
          </wp:inline>
        </w:drawing>
      </w:r>
      <w:r w:rsidDel="00000000" w:rsidR="00000000" w:rsidRPr="00000000">
        <w:rPr>
          <w:rtl w:val="0"/>
        </w:rPr>
      </w:r>
    </w:p>
    <w:p w:rsidR="00000000" w:rsidDel="00000000" w:rsidP="00000000" w:rsidRDefault="00000000" w:rsidRPr="00000000" w14:paraId="00000022">
      <w:pPr>
        <w:spacing w:after="160" w:lineRule="auto"/>
        <w:rPr>
          <w:rFonts w:ascii="Arial" w:cs="Arial" w:eastAsia="Arial" w:hAnsi="Arial"/>
          <w:b w:val="1"/>
        </w:rPr>
      </w:pPr>
      <w:r w:rsidDel="00000000" w:rsidR="00000000" w:rsidRPr="00000000">
        <w:rPr>
          <w:rFonts w:ascii="Arial" w:cs="Arial" w:eastAsia="Arial" w:hAnsi="Arial"/>
          <w:i w:val="1"/>
          <w:rtl w:val="0"/>
        </w:rPr>
        <w:t xml:space="preserve">Gráfico Nº5: Vínculo docente-alumno</w:t>
      </w:r>
      <w:r w:rsidDel="00000000" w:rsidR="00000000" w:rsidRPr="00000000">
        <w:rPr>
          <w:rFonts w:ascii="Arial" w:cs="Arial" w:eastAsia="Arial" w:hAnsi="Arial"/>
          <w:rtl w:val="0"/>
        </w:rPr>
        <w:br w:type="textWrapping"/>
      </w:r>
      <w:r w:rsidDel="00000000" w:rsidR="00000000" w:rsidRPr="00000000">
        <w:rPr>
          <w:rtl w:val="0"/>
        </w:rPr>
      </w:r>
    </w:p>
    <w:p w:rsidR="00000000" w:rsidDel="00000000" w:rsidP="00000000" w:rsidRDefault="00000000" w:rsidRPr="00000000" w14:paraId="00000023">
      <w:pPr>
        <w:spacing w:after="0" w:lineRule="auto"/>
        <w:rPr>
          <w:rFonts w:ascii="Arial" w:cs="Arial" w:eastAsia="Arial" w:hAnsi="Arial"/>
        </w:rPr>
      </w:pPr>
      <w:r w:rsidDel="00000000" w:rsidR="00000000" w:rsidRPr="00000000">
        <w:rPr>
          <w:rFonts w:ascii="Arial" w:cs="Arial" w:eastAsia="Arial" w:hAnsi="Arial"/>
          <w:b w:val="1"/>
          <w:rtl w:val="0"/>
        </w:rPr>
        <w:t xml:space="preserve">Síntesis crítica</w:t>
      </w:r>
      <w:r w:rsidDel="00000000" w:rsidR="00000000" w:rsidRPr="00000000">
        <w:rPr>
          <w:rFonts w:ascii="Arial" w:cs="Arial" w:eastAsia="Arial" w:hAnsi="Arial"/>
          <w:rtl w:val="0"/>
        </w:rPr>
        <w:br w:type="textWrapping"/>
        <w:t xml:space="preserve">La integración de TIC, la flexibilidad didáctica y el enfoque en el acompañamiento docente resultaron claves para mantener la calidad y la satisfacción en ambos contextos. Esta experiencia local coincide con la bibliografía internacional que recomienda modelos híbridos, con fuerte sostén en metodologías activas y tecnología educativa (Litwin, 2005; Silva Quiroz, 2010; UNESCO IESALC, 2022).</w:t>
      </w:r>
    </w:p>
    <w:p w:rsidR="00000000" w:rsidDel="00000000" w:rsidP="00000000" w:rsidRDefault="00000000" w:rsidRPr="00000000" w14:paraId="00000024">
      <w:pPr>
        <w:spacing w:after="0" w:lineRule="auto"/>
        <w:rPr>
          <w:rFonts w:ascii="Arial" w:cs="Arial" w:eastAsia="Arial" w:hAnsi="Arial"/>
        </w:rPr>
      </w:pPr>
      <w:r w:rsidDel="00000000" w:rsidR="00000000" w:rsidRPr="00000000">
        <w:rPr>
          <w:rFonts w:ascii="Arial" w:cs="Arial" w:eastAsia="Arial" w:hAnsi="Arial"/>
          <w:rtl w:val="0"/>
        </w:rPr>
        <w:t xml:space="preserve">Discusión ampliada: Los hallazgos corroboran que la combinación de metodologías activas y tecnologías educativas puede sostener —e incluso mejorar— el rendimiento y la satisfacción estudiantil. La literatura reciente enfatiza que los modelos híbridos efectivos exigen diseño instruccional basado en evidencias, comunidades de aprendizaje y evaluación auténtica (Hodges et al., 2020; Boettcher &amp; Conrad, 2021). Además, la presencia social y la tutoría personalizada emergen como variables clave para el bienestar y la motivación en entornos online (Daniel, 2020).</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rPr>
        <w:drawing>
          <wp:inline distB="0" distT="0" distL="0" distR="0">
            <wp:extent cx="5490845" cy="2217420"/>
            <wp:effectExtent b="11430" l="0" r="14605" t="0"/>
            <wp:docPr id="6" name=""/>
            <a:graphic>
              <a:graphicData uri="http://schemas.openxmlformats.org/drawingml/2006/chart">
                <c:chart r:id="rId14"/>
              </a:graphicData>
            </a:graphic>
          </wp:inline>
        </w:drawing>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CONCLUSIONES</w:t>
      </w:r>
    </w:p>
    <w:p w:rsidR="00000000" w:rsidDel="00000000" w:rsidP="00000000" w:rsidRDefault="00000000" w:rsidRPr="00000000" w14:paraId="00000027">
      <w:pPr>
        <w:spacing w:after="160" w:lineRule="auto"/>
        <w:jc w:val="both"/>
        <w:rPr>
          <w:rFonts w:ascii="Arial" w:cs="Arial" w:eastAsia="Arial" w:hAnsi="Arial"/>
        </w:rPr>
      </w:pPr>
      <w:r w:rsidDel="00000000" w:rsidR="00000000" w:rsidRPr="00000000">
        <w:rPr>
          <w:rFonts w:ascii="Arial" w:cs="Arial" w:eastAsia="Arial" w:hAnsi="Arial"/>
          <w:rtl w:val="0"/>
        </w:rPr>
        <w:t xml:space="preserve">La experiencia evidencia que la virtualidad, lejos de constituir una amenaza para la calidad educativa, puede ser una oportunidad para innovar e integrar nuevas prácticas, siempre que exista acompañamiento docente y una planificación sólida. Se destaca la necesidad de consolidar propuestas híbridas, flexibles y participativas, que capitalicen tanto las potencialidades de las TIC como el valor del encuentro presencial, orientando la formación bioquímica hacia la excelencia académica y el desarrollo humano integral.</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REFERENCIAS BIBLIOGRÁFICAS</w:t>
      </w:r>
    </w:p>
    <w:p w:rsidR="00000000" w:rsidDel="00000000" w:rsidP="00000000" w:rsidRDefault="00000000" w:rsidRPr="00000000" w14:paraId="00000029">
      <w:pPr>
        <w:spacing w:after="0" w:lineRule="auto"/>
        <w:ind w:left="284" w:hanging="284"/>
        <w:rPr>
          <w:rFonts w:ascii="Arial" w:cs="Arial" w:eastAsia="Arial" w:hAnsi="Arial"/>
          <w:sz w:val="20"/>
          <w:szCs w:val="20"/>
        </w:rPr>
      </w:pPr>
      <w:bookmarkStart w:colFirst="0" w:colLast="0" w:name="_9z1pm5jmeue5" w:id="0"/>
      <w:bookmarkEnd w:id="0"/>
      <w:r w:rsidDel="00000000" w:rsidR="00000000" w:rsidRPr="00000000">
        <w:rPr>
          <w:rFonts w:ascii="Arial" w:cs="Arial" w:eastAsia="Arial" w:hAnsi="Arial"/>
          <w:sz w:val="20"/>
          <w:szCs w:val="20"/>
          <w:rtl w:val="0"/>
        </w:rPr>
        <w:t xml:space="preserve">[1] Chiecher, A., Donolo, D., &amp; Rinaudo, M. C. (2008). Propuestas didácticas con presencialidad y virtualidad. XV Jornadas de Investigación y Cuarto Encuentro de Investigadores en Psicología del Mercosur. UBA.</w:t>
      </w:r>
    </w:p>
    <w:p w:rsidR="00000000" w:rsidDel="00000000" w:rsidP="00000000" w:rsidRDefault="00000000" w:rsidRPr="00000000" w14:paraId="0000002A">
      <w:pPr>
        <w:spacing w:after="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[2] Lira, A. L. B. C., Adamy, E. K., Teixeira, E., &amp; Silva, F. V. D. (2022). Lessons learned from COVID-19: Education, technology and remote assessment in nursing. Revista Latino-Americana de Enfermagem, 30.</w:t>
      </w:r>
    </w:p>
    <w:p w:rsidR="00000000" w:rsidDel="00000000" w:rsidP="00000000" w:rsidRDefault="00000000" w:rsidRPr="00000000" w14:paraId="0000002B">
      <w:pPr>
        <w:spacing w:after="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[3] Litwin, E. (2005). Tecnologías educativas en tiempos de Internet. Amorrortu.</w:t>
      </w:r>
    </w:p>
    <w:p w:rsidR="00000000" w:rsidDel="00000000" w:rsidP="00000000" w:rsidRDefault="00000000" w:rsidRPr="00000000" w14:paraId="0000002C">
      <w:pPr>
        <w:spacing w:after="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[4] Radu, M. C., Schnakovszky, C., Herghelegiu, E., Ciubotariu, V. A., &amp; Cristea, I. (2020). The Impact of the COVID-19 Pandemic on the Quality of Educational Process: A Student Survey. IJERPH, 17(21), 7770.</w:t>
      </w:r>
    </w:p>
    <w:p w:rsidR="00000000" w:rsidDel="00000000" w:rsidP="00000000" w:rsidRDefault="00000000" w:rsidRPr="00000000" w14:paraId="0000002D">
      <w:pPr>
        <w:spacing w:after="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[5] Román, J. A. (2020). La educación superior en tiempos de pandemia. Revista Latinoamericana de Estudios Educativos (México), 50(Esp.), 13-40.</w:t>
      </w:r>
    </w:p>
    <w:p w:rsidR="00000000" w:rsidDel="00000000" w:rsidP="00000000" w:rsidRDefault="00000000" w:rsidRPr="00000000" w14:paraId="0000002E">
      <w:pPr>
        <w:spacing w:after="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[6] Silva Quiroz, J. (2010). El rol del tutor en los entornos virtuales de aprendizaje. Innovación Educativa, 10(52), 13-23.</w:t>
      </w:r>
    </w:p>
    <w:p w:rsidR="00000000" w:rsidDel="00000000" w:rsidP="00000000" w:rsidRDefault="00000000" w:rsidRPr="00000000" w14:paraId="0000002F">
      <w:pPr>
        <w:spacing w:after="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[7] UNESCO IESALC. (2020). Covid-19 y educación superior: de los efectos inmediatos al día después. París, Francia: UNESCO.</w:t>
      </w:r>
    </w:p>
    <w:p w:rsidR="00000000" w:rsidDel="00000000" w:rsidP="00000000" w:rsidRDefault="00000000" w:rsidRPr="00000000" w14:paraId="00000030">
      <w:pPr>
        <w:spacing w:after="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[8] UNESCO IESALC. (2022). La educación superior en América Latina y el Caribe a dos años de la pandemia de COVID-19.</w:t>
      </w:r>
    </w:p>
    <w:p w:rsidR="00000000" w:rsidDel="00000000" w:rsidP="00000000" w:rsidRDefault="00000000" w:rsidRPr="00000000" w14:paraId="00000031">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[9] Hodges, C., Moore, S., Lockee, B., Trust, T., &amp; Bond, A. (2020). The difference between emergency remote teaching and online learning. *Educause Review*, 27.</w:t>
      </w:r>
    </w:p>
    <w:p w:rsidR="00000000" w:rsidDel="00000000" w:rsidP="00000000" w:rsidRDefault="00000000" w:rsidRPr="00000000" w14:paraId="00000032">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 Means, B., &amp; Neisler, J. (2021). Teaching and learning in COVID</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19: Student and faculty experiences with IT. *Digital Promise Report*.</w:t>
      </w:r>
    </w:p>
    <w:p w:rsidR="00000000" w:rsidDel="00000000" w:rsidP="00000000" w:rsidRDefault="00000000" w:rsidRPr="00000000" w14:paraId="00000033">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[11] Boettcher, J. V., &amp; Conrad, R.</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M. (2021). *The online teaching survival guide* (2nd ed.). Jossey</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Bass.</w:t>
      </w:r>
    </w:p>
    <w:p w:rsidR="00000000" w:rsidDel="00000000" w:rsidP="00000000" w:rsidRDefault="00000000" w:rsidRPr="00000000" w14:paraId="00000034">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[12] Daniel, S. J. (2020). Education and the COVID</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19 pandemic. *Prospects*, 49, 91</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96.</w:t>
      </w:r>
    </w:p>
    <w:p w:rsidR="00000000" w:rsidDel="00000000" w:rsidP="00000000" w:rsidRDefault="00000000" w:rsidRPr="00000000" w14:paraId="00000035">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[13] Freeman, S., Eddy, S. L., McDonough, M. et al. (2014). Active learning increases student performance in STEM. *Proceedings of the National Academy of Sciences*, 111(23), 8410</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8415.</w:t>
      </w:r>
    </w:p>
    <w:p w:rsidR="00000000" w:rsidDel="00000000" w:rsidP="00000000" w:rsidRDefault="00000000" w:rsidRPr="00000000" w14:paraId="00000036">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[14] Prince, M. (2004). Does active learning work? A review of the research. *Journal of Engineering Education*, 93(3), 223</w:t>
      </w:r>
      <w:r w:rsidDel="00000000" w:rsidR="00000000" w:rsidRPr="00000000">
        <w:rPr>
          <w:rFonts w:ascii="Cambria Math" w:cs="Cambria Math" w:eastAsia="Cambria Math" w:hAnsi="Cambria Math"/>
          <w:sz w:val="20"/>
          <w:szCs w:val="20"/>
          <w:rtl w:val="0"/>
        </w:rPr>
        <w:t xml:space="preserve">‑</w:t>
      </w:r>
      <w:r w:rsidDel="00000000" w:rsidR="00000000" w:rsidRPr="00000000">
        <w:rPr>
          <w:rFonts w:ascii="Arial" w:cs="Arial" w:eastAsia="Arial" w:hAnsi="Arial"/>
          <w:sz w:val="20"/>
          <w:szCs w:val="20"/>
          <w:rtl w:val="0"/>
        </w:rPr>
        <w:t xml:space="preserve">231.</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sectPr>
      <w:headerReference r:id="rId15" w:type="default"/>
      <w:footerReference r:id="rId16" w:type="default"/>
      <w:pgSz w:h="16838" w:w="11906"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oppins"/>
  <w:font w:name="Poppins ExtraBold"/>
  <w:font w:name="Poppins Medium"/>
  <w:font w:name="Georgia"/>
  <w:font w:name="Arial"/>
  <w:font w:name="Calibri"/>
  <w:font w:name="Cambria Math"/>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419"/>
        <w:tab w:val="right" w:leader="none" w:pos="8838"/>
      </w:tabs>
      <w:spacing w:after="0" w:lineRule="auto"/>
      <w:ind w:right="-285"/>
      <w:jc w:val="right"/>
      <w:rPr>
        <w:color w:val="000000"/>
      </w:rPr>
    </w:pPr>
    <w:r w:rsidDel="00000000" w:rsidR="00000000" w:rsidRPr="00000000">
      <w:rPr>
        <w:color w:val="000000"/>
        <w:highlight w:val="white"/>
        <w:rtl w:val="0"/>
      </w:rPr>
      <w:t xml:space="preserve">   Requisitos para el Trabajo extendido </w:t>
    </w:r>
    <w:r w:rsidDel="00000000" w:rsidR="00000000" w:rsidRPr="00000000">
      <w:rPr>
        <w:color w:val="000000"/>
        <w:rtl w:val="0"/>
      </w:rPr>
      <w:t xml:space="preserve">-</w:t>
    </w:r>
    <w:r w:rsidDel="00000000" w:rsidR="00000000" w:rsidRPr="00000000">
      <w:rPr>
        <w:b w:val="1"/>
        <w:color w:val="000000"/>
        <w:rtl w:val="0"/>
      </w:rPr>
      <w:t xml:space="preserve"> </w:t>
    </w:r>
    <w:r w:rsidDel="00000000" w:rsidR="00000000" w:rsidRPr="00000000">
      <w:rPr>
        <w:b w:val="1"/>
        <w:color w:val="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-165733</wp:posOffset>
          </wp:positionH>
          <wp:positionV relativeFrom="paragraph">
            <wp:posOffset>45085</wp:posOffset>
          </wp:positionV>
          <wp:extent cx="5534025" cy="140335"/>
          <wp:effectExtent b="0" l="0" r="0" t="0"/>
          <wp:wrapNone/>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34025" cy="14033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419"/>
        <w:tab w:val="right" w:leader="none" w:pos="8838"/>
        <w:tab w:val="left" w:leader="none" w:pos="1985"/>
      </w:tabs>
      <w:spacing w:after="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-838199</wp:posOffset>
          </wp:positionH>
          <wp:positionV relativeFrom="paragraph">
            <wp:posOffset>-250189</wp:posOffset>
          </wp:positionV>
          <wp:extent cx="1476375" cy="704867"/>
          <wp:effectExtent b="0" l="0" r="0" t="0"/>
          <wp:wrapNone/>
          <wp:docPr descr="C:\Users\UV-LUCIANA\AppData\Local\Microsoft\Windows\INetCache\Content.Word\anuncio cambio de fecha-29.jpg" id="8" name="image2.png"/>
          <a:graphic>
            <a:graphicData uri="http://schemas.openxmlformats.org/drawingml/2006/picture">
              <pic:pic>
                <pic:nvPicPr>
                  <pic:cNvPr descr="C:\Users\UV-LUCIANA\AppData\Local\Microsoft\Windows\INetCache\Content.Word\anuncio cambio de fecha-29.jpg" id="0" name="image2.png"/>
                  <pic:cNvPicPr preferRelativeResize="0"/>
                </pic:nvPicPr>
                <pic:blipFill>
                  <a:blip r:embed="rId1"/>
                  <a:srcRect b="0" l="0" r="0" t="0"/>
                  <a:stretch>
                    <a:fillRect/>
                  </a:stretch>
                </pic:blipFill>
                <pic:spPr>
                  <a:xfrm>
                    <a:off x="0" y="0"/>
                    <a:ext cx="1476375" cy="704867"/>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sz w:val="22"/>
        <w:szCs w:val="22"/>
        <w:lang w:val="es-AR"/>
      </w:rPr>
    </w:rPrDefault>
    <w:pPrDefault>
      <w:pPr>
        <w:spacing w:after="24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360" w:before="480" w:line="400" w:lineRule="auto"/>
    </w:pPr>
    <w:rPr>
      <w:rFonts w:ascii="Poppins ExtraBold" w:cs="Poppins ExtraBold" w:eastAsia="Poppins ExtraBold" w:hAnsi="Poppins ExtraBold"/>
      <w:b w:val="1"/>
      <w:color w:val="0070c0"/>
      <w:sz w:val="36"/>
      <w:szCs w:val="36"/>
    </w:rPr>
  </w:style>
  <w:style w:type="paragraph" w:styleId="Heading2">
    <w:name w:val="heading 2"/>
    <w:basedOn w:val="Normal"/>
    <w:next w:val="Normal"/>
    <w:pPr>
      <w:pBdr>
        <w:bottom w:color="92d050" w:space="1" w:sz="4" w:val="single"/>
      </w:pBdr>
      <w:spacing w:before="240" w:lineRule="auto"/>
    </w:pPr>
    <w:rPr>
      <w:rFonts w:ascii="Poppins Medium" w:cs="Poppins Medium" w:eastAsia="Poppins Medium" w:hAnsi="Poppins Medium"/>
      <w:b w:val="1"/>
      <w:color w:val="0070c0"/>
      <w:sz w:val="28"/>
      <w:szCs w:val="28"/>
    </w:rPr>
  </w:style>
  <w:style w:type="paragraph" w:styleId="Heading3">
    <w:name w:val="heading 3"/>
    <w:basedOn w:val="Normal"/>
    <w:next w:val="Normal"/>
    <w:pPr>
      <w:keepNext w:val="1"/>
      <w:keepLines w:val="1"/>
      <w:spacing w:before="40" w:lineRule="auto"/>
    </w:pPr>
    <w:rPr>
      <w:rFonts w:ascii="Poppins ExtraBold" w:cs="Poppins ExtraBold" w:eastAsia="Poppins ExtraBold" w:hAnsi="Poppins ExtraBold"/>
      <w:color w:val="ff0066"/>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chart" Target="charts/chart2.xml"/><Relationship Id="rId10" Type="http://schemas.openxmlformats.org/officeDocument/2006/relationships/chart" Target="charts/chart3.xml"/><Relationship Id="rId13" Type="http://schemas.openxmlformats.org/officeDocument/2006/relationships/chart" Target="charts/chart4.xml"/><Relationship Id="rId12" Type="http://schemas.openxmlformats.org/officeDocument/2006/relationships/chart" Target="charts/chart5.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chart" Target="charts/chart1.xml"/><Relationship Id="rId15" Type="http://schemas.openxmlformats.org/officeDocument/2006/relationships/header" Target="header1.xml"/><Relationship Id="rId14" Type="http://schemas.openxmlformats.org/officeDocument/2006/relationships/chart" Target="charts/chart6.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patricia.goicoechea@comunidad.unne.edu.ar" TargetMode="External"/><Relationship Id="rId7" Type="http://schemas.openxmlformats.org/officeDocument/2006/relationships/hyperlink" Target="mailto:silvinamarmar@gmail.com" TargetMode="External"/><Relationship Id="rId8" Type="http://schemas.openxmlformats.org/officeDocument/2006/relationships/hyperlink" Target="mailto:arielleyesp@exa.unne.edu.a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themeOverride" Target="../theme/themeOverride1.xml"/><Relationship Id="rId4" Type="http://schemas.openxmlformats.org/officeDocument/2006/relationships/oleObject" Target="file:///D:\1%20DOCUMENTOS\2%20PRESENTACIONES%20y%20POSTERS%20TODOS\2%20CONGRESOS%20Y%20JORNADAS\2023%20Jornadas%20UNNE%20Virtual\ENCUESTA%20FISIOPATOLOG&#205;A%202020%20-%202024.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themeOverride" Target="../theme/themeOverride2.xml"/><Relationship Id="rId4" Type="http://schemas.openxmlformats.org/officeDocument/2006/relationships/oleObject" Target="file:///D:\1%20DOCUMENTOS\2%20PRESENTACIONES%20y%20POSTERS%20TODOS\2%20CONGRESOS%20Y%20JORNADAS\2023%20Jornadas%20UNNE%20Virtual\ENCUESTA%20FISIOPATOLOG&#205;A%202020%20-%202024.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themeOverride" Target="../theme/themeOverride3.xml"/><Relationship Id="rId4" Type="http://schemas.openxmlformats.org/officeDocument/2006/relationships/oleObject" Target="file:///D:\OneDrive\Escritorio\CALIFICACIONES%20ALUMNOS%202020%20a%202024.xlsx"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themeOverride" Target="../theme/themeOverride4.xml"/><Relationship Id="rId4" Type="http://schemas.openxmlformats.org/officeDocument/2006/relationships/oleObject" Target="file:///D:\1%20DOCUMENTOS\2%20PRESENTACIONES%20y%20POSTERS%20TODOS\2%20CONGRESOS%20Y%20JORNADAS\2023%20Jornadas%20UNNE%20Virtual\ENCUESTA%20FISIOPATOLOG&#205;A%202020%20-%202024.xlsx"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themeOverride" Target="../theme/themeOverride5.xml"/><Relationship Id="rId4" Type="http://schemas.openxmlformats.org/officeDocument/2006/relationships/oleObject" Target="file:///D:\1%20DOCUMENTOS\2%20PRESENTACIONES%20y%20POSTERS%20TODOS\2%20CONGRESOS%20Y%20JORNADAS\2023%20Jornadas%20UNNE%20Virtual\ENCUESTA%20FISIOPATOLOG&#205;A%202020%20-%202024.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themeOverride" Target="../theme/themeOverride6.xml"/><Relationship Id="rId4" Type="http://schemas.openxmlformats.org/officeDocument/2006/relationships/oleObject" Target="file:///D:\1%20DOCUMENTOS\2%20PRESENTACIONES%20y%20POSTERS%20TODOS\2%20CONGRESOS%20Y%20JORNADAS\2023%20Jornadas%20UNNE%20Virtual\ENCUESTA%20FISIOPATOLOG&#205;A%202020%20-%20202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s-AR" sz="1100"/>
              <a:t>alumnos</a:t>
            </a:r>
            <a:r>
              <a:rPr lang="es-AR" sz="1100" baseline="0"/>
              <a:t> que respondieron la encuesta</a:t>
            </a:r>
            <a:endParaRPr lang="es-AR" sz="1100"/>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s-AR"/>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157638321965608E-2"/>
          <c:y val="0.2333747004450531"/>
          <c:w val="0.83876833539620266"/>
          <c:h val="0.64587137205675382"/>
        </c:manualLayout>
      </c:layout>
      <c:pie3DChart>
        <c:varyColors val="1"/>
        <c:ser>
          <c:idx val="0"/>
          <c:order val="0"/>
          <c:spPr>
            <a:ln>
              <a:noFill/>
            </a:ln>
          </c:spPr>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865-409D-B8DD-C915DC3F876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865-409D-B8DD-C915DC3F876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865-409D-B8DD-C915DC3F876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865-409D-B8DD-C915DC3F876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865-409D-B8DD-C915DC3F8761}"/>
              </c:ext>
            </c:extLst>
          </c:dPt>
          <c:dLbls>
            <c:dLbl>
              <c:idx val="0"/>
              <c:spPr>
                <a:solidFill>
                  <a:srgbClr val="FFFFFF"/>
                </a:solidFill>
                <a:ln>
                  <a:solidFill>
                    <a:srgbClr val="4285F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s-AR"/>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6865-409D-B8DD-C915DC3F8761}"/>
                </c:ext>
              </c:extLst>
            </c:dLbl>
            <c:dLbl>
              <c:idx val="1"/>
              <c:spPr>
                <a:solidFill>
                  <a:srgbClr val="FFFFFF"/>
                </a:solidFill>
                <a:ln>
                  <a:solidFill>
                    <a:srgbClr val="4285F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latin typeface="+mn-lt"/>
                      <a:ea typeface="+mn-ea"/>
                      <a:cs typeface="+mn-cs"/>
                    </a:defRPr>
                  </a:pPr>
                  <a:endParaRPr lang="es-AR"/>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3-6865-409D-B8DD-C915DC3F8761}"/>
                </c:ext>
              </c:extLst>
            </c:dLbl>
            <c:dLbl>
              <c:idx val="2"/>
              <c:spPr>
                <a:solidFill>
                  <a:srgbClr val="FFFFFF"/>
                </a:solidFill>
                <a:ln>
                  <a:solidFill>
                    <a:srgbClr val="4285F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latin typeface="+mn-lt"/>
                      <a:ea typeface="+mn-ea"/>
                      <a:cs typeface="+mn-cs"/>
                    </a:defRPr>
                  </a:pPr>
                  <a:endParaRPr lang="es-AR"/>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5-6865-409D-B8DD-C915DC3F8761}"/>
                </c:ext>
              </c:extLst>
            </c:dLbl>
            <c:dLbl>
              <c:idx val="3"/>
              <c:spPr>
                <a:solidFill>
                  <a:srgbClr val="FFFFFF"/>
                </a:solidFill>
                <a:ln>
                  <a:solidFill>
                    <a:srgbClr val="4285F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es-AR"/>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7-6865-409D-B8DD-C915DC3F8761}"/>
                </c:ext>
              </c:extLst>
            </c:dLbl>
            <c:dLbl>
              <c:idx val="4"/>
              <c:spPr>
                <a:solidFill>
                  <a:srgbClr val="FFFFFF"/>
                </a:solidFill>
                <a:ln>
                  <a:solidFill>
                    <a:srgbClr val="4285F4"/>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solidFill>
                      <a:latin typeface="+mn-lt"/>
                      <a:ea typeface="+mn-ea"/>
                      <a:cs typeface="+mn-cs"/>
                    </a:defRPr>
                  </a:pPr>
                  <a:endParaRPr lang="es-AR"/>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9-6865-409D-B8DD-C915DC3F8761}"/>
                </c:ext>
              </c:extLst>
            </c:dLbl>
            <c:spPr>
              <a:solidFill>
                <a:srgbClr val="FFFFFF"/>
              </a:solidFill>
              <a:ln>
                <a:solidFill>
                  <a:srgbClr val="4285F4"/>
                </a:solid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'Nuevo estudio'!$I$7:$M$7</c:f>
              <c:numCache>
                <c:formatCode>General</c:formatCode>
                <c:ptCount val="5"/>
                <c:pt idx="0">
                  <c:v>2020</c:v>
                </c:pt>
                <c:pt idx="1">
                  <c:v>2021</c:v>
                </c:pt>
                <c:pt idx="2">
                  <c:v>2022</c:v>
                </c:pt>
                <c:pt idx="3">
                  <c:v>2023</c:v>
                </c:pt>
                <c:pt idx="4">
                  <c:v>2024</c:v>
                </c:pt>
              </c:numCache>
            </c:numRef>
          </c:cat>
          <c:val>
            <c:numRef>
              <c:f>'Nuevo estudio'!$I$8:$M$8</c:f>
              <c:numCache>
                <c:formatCode>General</c:formatCode>
                <c:ptCount val="5"/>
                <c:pt idx="0">
                  <c:v>26</c:v>
                </c:pt>
                <c:pt idx="1">
                  <c:v>19</c:v>
                </c:pt>
                <c:pt idx="2">
                  <c:v>20</c:v>
                </c:pt>
                <c:pt idx="3">
                  <c:v>18</c:v>
                </c:pt>
                <c:pt idx="4">
                  <c:v>17</c:v>
                </c:pt>
              </c:numCache>
            </c:numRef>
          </c:val>
          <c:extLst>
            <c:ext xmlns:c16="http://schemas.microsoft.com/office/drawing/2014/chart" uri="{C3380CC4-5D6E-409C-BE32-E72D297353CC}">
              <c16:uniqueId val="{0000000A-6865-409D-B8DD-C915DC3F8761}"/>
            </c:ext>
          </c:extLst>
        </c:ser>
        <c:dLbls>
          <c:showLegendKey val="0"/>
          <c:showVal val="0"/>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r>
              <a:rPr lang="es-AR" sz="1200" b="1" i="0" u="none" strike="noStrike" baseline="0">
                <a:effectLst/>
              </a:rPr>
              <a:t>Estrategias de enseñanza y recursos didácticos</a:t>
            </a:r>
            <a:endParaRPr lang="es-AR" sz="1200">
              <a:solidFill>
                <a:sysClr val="windowText" lastClr="000000"/>
              </a:solidFill>
            </a:endParaRPr>
          </a:p>
        </c:rich>
      </c:tx>
      <c:layout>
        <c:manualLayout>
          <c:xMode val="edge"/>
          <c:yMode val="edge"/>
          <c:x val="0.13352495761038718"/>
          <c:y val="1.3840409124117226E-3"/>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A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921886976517316"/>
          <c:y val="1.5612739129258382E-3"/>
          <c:w val="0.84078113023482681"/>
          <c:h val="0.99843872608707418"/>
        </c:manualLayout>
      </c:layout>
      <c:bar3DChart>
        <c:barDir val="bar"/>
        <c:grouping val="percentStacked"/>
        <c:varyColors val="0"/>
        <c:ser>
          <c:idx val="0"/>
          <c:order val="0"/>
          <c:tx>
            <c:strRef>
              <c:f>'Nuevo estudio'!$J$33</c:f>
              <c:strCache>
                <c:ptCount val="1"/>
                <c:pt idx="0">
                  <c:v>Excelente</c:v>
                </c:pt>
              </c:strCache>
            </c:strRef>
          </c:tx>
          <c:spPr>
            <a:solidFill>
              <a:schemeClr val="accent1">
                <a:lumMod val="50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estudio'!$K$32:$L$32</c:f>
              <c:strCache>
                <c:ptCount val="2"/>
                <c:pt idx="0">
                  <c:v>Virtual %</c:v>
                </c:pt>
                <c:pt idx="1">
                  <c:v>Presencial %</c:v>
                </c:pt>
              </c:strCache>
            </c:strRef>
          </c:cat>
          <c:val>
            <c:numRef>
              <c:f>'Nuevo estudio'!$K$33:$L$33</c:f>
              <c:numCache>
                <c:formatCode>0%</c:formatCode>
                <c:ptCount val="2"/>
                <c:pt idx="0">
                  <c:v>0.4</c:v>
                </c:pt>
                <c:pt idx="1">
                  <c:v>0.45454545454545453</c:v>
                </c:pt>
              </c:numCache>
            </c:numRef>
          </c:val>
          <c:extLst>
            <c:ext xmlns:c16="http://schemas.microsoft.com/office/drawing/2014/chart" uri="{C3380CC4-5D6E-409C-BE32-E72D297353CC}">
              <c16:uniqueId val="{00000000-0242-45E8-AF6B-FE54457264D1}"/>
            </c:ext>
          </c:extLst>
        </c:ser>
        <c:ser>
          <c:idx val="1"/>
          <c:order val="1"/>
          <c:tx>
            <c:strRef>
              <c:f>'Nuevo estudio'!$J$34</c:f>
              <c:strCache>
                <c:ptCount val="1"/>
                <c:pt idx="0">
                  <c:v>Muy bueno</c:v>
                </c:pt>
              </c:strCache>
            </c:strRef>
          </c:tx>
          <c:spPr>
            <a:solidFill>
              <a:schemeClr val="accent6">
                <a:lumMod val="75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estudio'!$K$32:$L$32</c:f>
              <c:strCache>
                <c:ptCount val="2"/>
                <c:pt idx="0">
                  <c:v>Virtual %</c:v>
                </c:pt>
                <c:pt idx="1">
                  <c:v>Presencial %</c:v>
                </c:pt>
              </c:strCache>
            </c:strRef>
          </c:cat>
          <c:val>
            <c:numRef>
              <c:f>'Nuevo estudio'!$K$34:$L$34</c:f>
              <c:numCache>
                <c:formatCode>0%</c:formatCode>
                <c:ptCount val="2"/>
                <c:pt idx="0">
                  <c:v>0.53333333333333333</c:v>
                </c:pt>
                <c:pt idx="1">
                  <c:v>0.36363636363636365</c:v>
                </c:pt>
              </c:numCache>
            </c:numRef>
          </c:val>
          <c:extLst>
            <c:ext xmlns:c16="http://schemas.microsoft.com/office/drawing/2014/chart" uri="{C3380CC4-5D6E-409C-BE32-E72D297353CC}">
              <c16:uniqueId val="{00000001-0242-45E8-AF6B-FE54457264D1}"/>
            </c:ext>
          </c:extLst>
        </c:ser>
        <c:ser>
          <c:idx val="2"/>
          <c:order val="2"/>
          <c:tx>
            <c:strRef>
              <c:f>'Nuevo estudio'!$J$35</c:f>
              <c:strCache>
                <c:ptCount val="1"/>
                <c:pt idx="0">
                  <c:v>Bueno</c:v>
                </c:pt>
              </c:strCache>
            </c:strRef>
          </c:tx>
          <c:spPr>
            <a:solidFill>
              <a:schemeClr val="accent5">
                <a:lumMod val="60000"/>
                <a:lumOff val="40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estudio'!$K$32:$L$32</c:f>
              <c:strCache>
                <c:ptCount val="2"/>
                <c:pt idx="0">
                  <c:v>Virtual %</c:v>
                </c:pt>
                <c:pt idx="1">
                  <c:v>Presencial %</c:v>
                </c:pt>
              </c:strCache>
            </c:strRef>
          </c:cat>
          <c:val>
            <c:numRef>
              <c:f>'Nuevo estudio'!$K$35:$L$35</c:f>
              <c:numCache>
                <c:formatCode>0%</c:formatCode>
                <c:ptCount val="2"/>
                <c:pt idx="0">
                  <c:v>6.6666666666666666E-2</c:v>
                </c:pt>
                <c:pt idx="1">
                  <c:v>0.14545454545454545</c:v>
                </c:pt>
              </c:numCache>
            </c:numRef>
          </c:val>
          <c:extLst>
            <c:ext xmlns:c16="http://schemas.microsoft.com/office/drawing/2014/chart" uri="{C3380CC4-5D6E-409C-BE32-E72D297353CC}">
              <c16:uniqueId val="{00000002-0242-45E8-AF6B-FE54457264D1}"/>
            </c:ext>
          </c:extLst>
        </c:ser>
        <c:ser>
          <c:idx val="3"/>
          <c:order val="3"/>
          <c:tx>
            <c:strRef>
              <c:f>'Nuevo estudio'!$J$36</c:f>
              <c:strCache>
                <c:ptCount val="1"/>
                <c:pt idx="0">
                  <c:v>Regular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estudio'!$K$32:$L$32</c:f>
              <c:strCache>
                <c:ptCount val="2"/>
                <c:pt idx="0">
                  <c:v>Virtual %</c:v>
                </c:pt>
                <c:pt idx="1">
                  <c:v>Presencial %</c:v>
                </c:pt>
              </c:strCache>
            </c:strRef>
          </c:cat>
          <c:val>
            <c:numRef>
              <c:f>'Nuevo estudio'!$K$36:$L$36</c:f>
              <c:numCache>
                <c:formatCode>0%</c:formatCode>
                <c:ptCount val="2"/>
                <c:pt idx="0">
                  <c:v>0</c:v>
                </c:pt>
                <c:pt idx="1">
                  <c:v>3.6363636363636362E-2</c:v>
                </c:pt>
              </c:numCache>
            </c:numRef>
          </c:val>
          <c:extLst>
            <c:ext xmlns:c16="http://schemas.microsoft.com/office/drawing/2014/chart" uri="{C3380CC4-5D6E-409C-BE32-E72D297353CC}">
              <c16:uniqueId val="{00000003-0242-45E8-AF6B-FE54457264D1}"/>
            </c:ext>
          </c:extLst>
        </c:ser>
        <c:ser>
          <c:idx val="4"/>
          <c:order val="4"/>
          <c:tx>
            <c:strRef>
              <c:f>'Nuevo estudio'!$J$37</c:f>
              <c:strCache>
                <c:ptCount val="1"/>
                <c:pt idx="0">
                  <c:v>Malo</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estudio'!$K$32:$L$32</c:f>
              <c:strCache>
                <c:ptCount val="2"/>
                <c:pt idx="0">
                  <c:v>Virtual %</c:v>
                </c:pt>
                <c:pt idx="1">
                  <c:v>Presencial %</c:v>
                </c:pt>
              </c:strCache>
            </c:strRef>
          </c:cat>
          <c:val>
            <c:numRef>
              <c:f>'Nuevo estudio'!$K$37:$L$37</c:f>
              <c:numCache>
                <c:formatCode>0%</c:formatCode>
                <c:ptCount val="2"/>
                <c:pt idx="0">
                  <c:v>0</c:v>
                </c:pt>
                <c:pt idx="1">
                  <c:v>0</c:v>
                </c:pt>
              </c:numCache>
            </c:numRef>
          </c:val>
          <c:extLst>
            <c:ext xmlns:c16="http://schemas.microsoft.com/office/drawing/2014/chart" uri="{C3380CC4-5D6E-409C-BE32-E72D297353CC}">
              <c16:uniqueId val="{00000004-0242-45E8-AF6B-FE54457264D1}"/>
            </c:ext>
          </c:extLst>
        </c:ser>
        <c:dLbls>
          <c:showLegendKey val="0"/>
          <c:showVal val="1"/>
          <c:showCatName val="0"/>
          <c:showSerName val="0"/>
          <c:showPercent val="0"/>
          <c:showBubbleSize val="0"/>
        </c:dLbls>
        <c:gapWidth val="150"/>
        <c:shape val="box"/>
        <c:axId val="876286544"/>
        <c:axId val="876276944"/>
        <c:axId val="0"/>
      </c:bar3DChart>
      <c:catAx>
        <c:axId val="876286544"/>
        <c:scaling>
          <c:orientation val="maxMin"/>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ln>
                  <a:noFill/>
                </a:ln>
                <a:solidFill>
                  <a:sysClr val="windowText" lastClr="000000"/>
                </a:solidFill>
                <a:latin typeface="+mn-lt"/>
                <a:ea typeface="+mn-ea"/>
                <a:cs typeface="+mn-cs"/>
              </a:defRPr>
            </a:pPr>
            <a:endParaRPr lang="es-AR"/>
          </a:p>
        </c:txPr>
        <c:crossAx val="876276944"/>
        <c:crosses val="autoZero"/>
        <c:auto val="1"/>
        <c:lblAlgn val="ctr"/>
        <c:lblOffset val="100"/>
        <c:noMultiLvlLbl val="0"/>
      </c:catAx>
      <c:valAx>
        <c:axId val="876276944"/>
        <c:scaling>
          <c:orientation val="minMax"/>
        </c:scaling>
        <c:delete val="1"/>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76286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bg1"/>
          </a:solidFill>
        </a:defRPr>
      </a:pPr>
      <a:endParaRPr lang="es-A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AR" sz="1200">
                <a:latin typeface="Arial" panose="020B0604020202020204" pitchFamily="34" charset="0"/>
                <a:cs typeface="Arial" panose="020B0604020202020204" pitchFamily="34" charset="0"/>
              </a:rPr>
              <a:t>Calificaciones </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AR"/>
        </a:p>
      </c:txPr>
    </c:title>
    <c:autoTitleDeleted val="0"/>
    <c:plotArea>
      <c:layout>
        <c:manualLayout>
          <c:layoutTarget val="inner"/>
          <c:xMode val="edge"/>
          <c:yMode val="edge"/>
          <c:x val="7.9628410277537323E-2"/>
          <c:y val="0.13630139919884765"/>
          <c:w val="0.91129855176692043"/>
          <c:h val="0.74417316071963957"/>
        </c:manualLayout>
      </c:layout>
      <c:barChart>
        <c:barDir val="col"/>
        <c:grouping val="clustered"/>
        <c:varyColors val="0"/>
        <c:ser>
          <c:idx val="0"/>
          <c:order val="0"/>
          <c:tx>
            <c:strRef>
              <c:f>Hoja1!$E$3</c:f>
              <c:strCache>
                <c:ptCount val="1"/>
                <c:pt idx="0">
                  <c:v>2020</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Hoja1!$F$2</c:f>
              <c:strCache>
                <c:ptCount val="1"/>
                <c:pt idx="0">
                  <c:v>PROMEDIO</c:v>
                </c:pt>
              </c:strCache>
            </c:strRef>
          </c:cat>
          <c:val>
            <c:numRef>
              <c:f>Hoja1!$F$3</c:f>
              <c:numCache>
                <c:formatCode>0.0</c:formatCode>
                <c:ptCount val="1"/>
                <c:pt idx="0">
                  <c:v>9</c:v>
                </c:pt>
              </c:numCache>
            </c:numRef>
          </c:val>
          <c:extLst>
            <c:ext xmlns:c16="http://schemas.microsoft.com/office/drawing/2014/chart" uri="{C3380CC4-5D6E-409C-BE32-E72D297353CC}">
              <c16:uniqueId val="{00000000-F0DC-4033-AA71-1C23477F9551}"/>
            </c:ext>
          </c:extLst>
        </c:ser>
        <c:ser>
          <c:idx val="1"/>
          <c:order val="1"/>
          <c:tx>
            <c:strRef>
              <c:f>Hoja1!$E$4</c:f>
              <c:strCache>
                <c:ptCount val="1"/>
                <c:pt idx="0">
                  <c:v>2021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Hoja1!$F$2</c:f>
              <c:strCache>
                <c:ptCount val="1"/>
                <c:pt idx="0">
                  <c:v>PROMEDIO</c:v>
                </c:pt>
              </c:strCache>
            </c:strRef>
          </c:cat>
          <c:val>
            <c:numRef>
              <c:f>Hoja1!$F$4</c:f>
              <c:numCache>
                <c:formatCode>General</c:formatCode>
                <c:ptCount val="1"/>
                <c:pt idx="0">
                  <c:v>8.9</c:v>
                </c:pt>
              </c:numCache>
            </c:numRef>
          </c:val>
          <c:extLst>
            <c:ext xmlns:c16="http://schemas.microsoft.com/office/drawing/2014/chart" uri="{C3380CC4-5D6E-409C-BE32-E72D297353CC}">
              <c16:uniqueId val="{00000001-F0DC-4033-AA71-1C23477F9551}"/>
            </c:ext>
          </c:extLst>
        </c:ser>
        <c:ser>
          <c:idx val="2"/>
          <c:order val="2"/>
          <c:tx>
            <c:strRef>
              <c:f>Hoja1!$E$5</c:f>
              <c:strCache>
                <c:ptCount val="1"/>
                <c:pt idx="0">
                  <c:v>2022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Hoja1!$F$2</c:f>
              <c:strCache>
                <c:ptCount val="1"/>
                <c:pt idx="0">
                  <c:v>PROMEDIO</c:v>
                </c:pt>
              </c:strCache>
            </c:strRef>
          </c:cat>
          <c:val>
            <c:numRef>
              <c:f>Hoja1!$F$5</c:f>
              <c:numCache>
                <c:formatCode>General</c:formatCode>
                <c:ptCount val="1"/>
                <c:pt idx="0">
                  <c:v>9.1</c:v>
                </c:pt>
              </c:numCache>
            </c:numRef>
          </c:val>
          <c:extLst>
            <c:ext xmlns:c16="http://schemas.microsoft.com/office/drawing/2014/chart" uri="{C3380CC4-5D6E-409C-BE32-E72D297353CC}">
              <c16:uniqueId val="{00000002-F0DC-4033-AA71-1C23477F9551}"/>
            </c:ext>
          </c:extLst>
        </c:ser>
        <c:ser>
          <c:idx val="3"/>
          <c:order val="3"/>
          <c:tx>
            <c:strRef>
              <c:f>Hoja1!$E$6</c:f>
              <c:strCache>
                <c:ptCount val="1"/>
                <c:pt idx="0">
                  <c:v>2023</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Hoja1!$F$2</c:f>
              <c:strCache>
                <c:ptCount val="1"/>
                <c:pt idx="0">
                  <c:v>PROMEDIO</c:v>
                </c:pt>
              </c:strCache>
            </c:strRef>
          </c:cat>
          <c:val>
            <c:numRef>
              <c:f>Hoja1!$F$6</c:f>
              <c:numCache>
                <c:formatCode>General</c:formatCode>
                <c:ptCount val="1"/>
                <c:pt idx="0">
                  <c:v>9.1</c:v>
                </c:pt>
              </c:numCache>
            </c:numRef>
          </c:val>
          <c:extLst>
            <c:ext xmlns:c16="http://schemas.microsoft.com/office/drawing/2014/chart" uri="{C3380CC4-5D6E-409C-BE32-E72D297353CC}">
              <c16:uniqueId val="{00000003-F0DC-4033-AA71-1C23477F9551}"/>
            </c:ext>
          </c:extLst>
        </c:ser>
        <c:ser>
          <c:idx val="4"/>
          <c:order val="4"/>
          <c:tx>
            <c:strRef>
              <c:f>Hoja1!$E$7</c:f>
              <c:strCache>
                <c:ptCount val="1"/>
                <c:pt idx="0">
                  <c:v>2024</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A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Hoja1!$F$2</c:f>
              <c:strCache>
                <c:ptCount val="1"/>
                <c:pt idx="0">
                  <c:v>PROMEDIO</c:v>
                </c:pt>
              </c:strCache>
            </c:strRef>
          </c:cat>
          <c:val>
            <c:numRef>
              <c:f>Hoja1!$F$7</c:f>
              <c:numCache>
                <c:formatCode>General</c:formatCode>
                <c:ptCount val="1"/>
                <c:pt idx="0">
                  <c:v>8.8000000000000007</c:v>
                </c:pt>
              </c:numCache>
            </c:numRef>
          </c:val>
          <c:extLst>
            <c:ext xmlns:c16="http://schemas.microsoft.com/office/drawing/2014/chart" uri="{C3380CC4-5D6E-409C-BE32-E72D297353CC}">
              <c16:uniqueId val="{00000004-F0DC-4033-AA71-1C23477F9551}"/>
            </c:ext>
          </c:extLst>
        </c:ser>
        <c:dLbls>
          <c:dLblPos val="outEnd"/>
          <c:showLegendKey val="0"/>
          <c:showVal val="1"/>
          <c:showCatName val="0"/>
          <c:showSerName val="0"/>
          <c:showPercent val="0"/>
          <c:showBubbleSize val="0"/>
        </c:dLbls>
        <c:gapWidth val="100"/>
        <c:overlap val="-24"/>
        <c:axId val="635511535"/>
        <c:axId val="635519215"/>
      </c:barChart>
      <c:catAx>
        <c:axId val="635511535"/>
        <c:scaling>
          <c:orientation val="minMax"/>
        </c:scaling>
        <c:delete val="1"/>
        <c:axPos val="b"/>
        <c:numFmt formatCode="General" sourceLinked="1"/>
        <c:majorTickMark val="out"/>
        <c:minorTickMark val="none"/>
        <c:tickLblPos val="nextTo"/>
        <c:crossAx val="635519215"/>
        <c:crosses val="autoZero"/>
        <c:auto val="1"/>
        <c:lblAlgn val="ctr"/>
        <c:lblOffset val="100"/>
        <c:noMultiLvlLbl val="0"/>
      </c:catAx>
      <c:valAx>
        <c:axId val="635519215"/>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AR"/>
          </a:p>
        </c:txPr>
        <c:crossAx val="635511535"/>
        <c:crosses val="autoZero"/>
        <c:crossBetween val="between"/>
      </c:valAx>
      <c:spPr>
        <a:noFill/>
        <a:ln>
          <a:noFill/>
        </a:ln>
        <a:effectLst/>
      </c:spPr>
    </c:plotArea>
    <c:legend>
      <c:legendPos val="b"/>
      <c:layout>
        <c:manualLayout>
          <c:xMode val="edge"/>
          <c:yMode val="edge"/>
          <c:x val="0.18587341317434658"/>
          <c:y val="0.87664387346318551"/>
          <c:w val="0.62089482192209422"/>
          <c:h val="0.1233561265368144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es-AR" sz="1200" b="1" i="0" u="none" strike="noStrike" baseline="0">
                <a:effectLst/>
              </a:rPr>
              <a:t>Vínculos y comunicación de  docentes/tutores</a:t>
            </a:r>
            <a:r>
              <a:rPr lang="es-AR" sz="1400" b="1" i="0" u="none" strike="noStrike" baseline="0">
                <a:effectLst/>
              </a:rPr>
              <a:t> </a:t>
            </a:r>
            <a:endParaRPr lang="es-AR" sz="1200" i="0">
              <a:solidFill>
                <a:sysClr val="windowText" lastClr="000000"/>
              </a:solidFill>
            </a:endParaRPr>
          </a:p>
        </c:rich>
      </c:tx>
      <c:layout>
        <c:manualLayout>
          <c:xMode val="edge"/>
          <c:yMode val="edge"/>
          <c:x val="0.16128027653302909"/>
          <c:y val="5.2137040232984586E-2"/>
        </c:manualLayout>
      </c:layout>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es-A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097293768081232"/>
          <c:y val="0.13504386437996621"/>
          <c:w val="0.84902698437205149"/>
          <c:h val="0.79524907417394741"/>
        </c:manualLayout>
      </c:layout>
      <c:bar3DChart>
        <c:barDir val="bar"/>
        <c:grouping val="percentStacked"/>
        <c:varyColors val="0"/>
        <c:ser>
          <c:idx val="0"/>
          <c:order val="0"/>
          <c:tx>
            <c:strRef>
              <c:f>'Nuevo estudio'!$J$70</c:f>
              <c:strCache>
                <c:ptCount val="1"/>
                <c:pt idx="0">
                  <c:v>Excelente</c:v>
                </c:pt>
              </c:strCache>
            </c:strRef>
          </c:tx>
          <c:spPr>
            <a:solidFill>
              <a:schemeClr val="accent1">
                <a:lumMod val="50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estudio'!$K$69:$L$69</c:f>
              <c:strCache>
                <c:ptCount val="2"/>
                <c:pt idx="0">
                  <c:v>Virtual %</c:v>
                </c:pt>
                <c:pt idx="1">
                  <c:v>Presencial %</c:v>
                </c:pt>
              </c:strCache>
            </c:strRef>
          </c:cat>
          <c:val>
            <c:numRef>
              <c:f>'Nuevo estudio'!$K$70:$L$70</c:f>
              <c:numCache>
                <c:formatCode>0%</c:formatCode>
                <c:ptCount val="2"/>
                <c:pt idx="0">
                  <c:v>0.48888888888888887</c:v>
                </c:pt>
                <c:pt idx="1">
                  <c:v>0.61818181818181817</c:v>
                </c:pt>
              </c:numCache>
            </c:numRef>
          </c:val>
          <c:extLst>
            <c:ext xmlns:c16="http://schemas.microsoft.com/office/drawing/2014/chart" uri="{C3380CC4-5D6E-409C-BE32-E72D297353CC}">
              <c16:uniqueId val="{00000000-4520-4904-9530-354F33066CB6}"/>
            </c:ext>
          </c:extLst>
        </c:ser>
        <c:ser>
          <c:idx val="1"/>
          <c:order val="1"/>
          <c:tx>
            <c:strRef>
              <c:f>'Nuevo estudio'!$J$71</c:f>
              <c:strCache>
                <c:ptCount val="1"/>
                <c:pt idx="0">
                  <c:v>Muy bueno</c:v>
                </c:pt>
              </c:strCache>
            </c:strRef>
          </c:tx>
          <c:spPr>
            <a:solidFill>
              <a:schemeClr val="accent6">
                <a:lumMod val="75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estudio'!$K$69:$L$69</c:f>
              <c:strCache>
                <c:ptCount val="2"/>
                <c:pt idx="0">
                  <c:v>Virtual %</c:v>
                </c:pt>
                <c:pt idx="1">
                  <c:v>Presencial %</c:v>
                </c:pt>
              </c:strCache>
            </c:strRef>
          </c:cat>
          <c:val>
            <c:numRef>
              <c:f>'Nuevo estudio'!$K$71:$L$71</c:f>
              <c:numCache>
                <c:formatCode>0%</c:formatCode>
                <c:ptCount val="2"/>
                <c:pt idx="0">
                  <c:v>0.37777777777777777</c:v>
                </c:pt>
                <c:pt idx="1">
                  <c:v>0.27272727272727271</c:v>
                </c:pt>
              </c:numCache>
            </c:numRef>
          </c:val>
          <c:extLst>
            <c:ext xmlns:c16="http://schemas.microsoft.com/office/drawing/2014/chart" uri="{C3380CC4-5D6E-409C-BE32-E72D297353CC}">
              <c16:uniqueId val="{00000001-4520-4904-9530-354F33066CB6}"/>
            </c:ext>
          </c:extLst>
        </c:ser>
        <c:ser>
          <c:idx val="2"/>
          <c:order val="2"/>
          <c:tx>
            <c:strRef>
              <c:f>'Nuevo estudio'!$J$72</c:f>
              <c:strCache>
                <c:ptCount val="1"/>
                <c:pt idx="0">
                  <c:v>Bueno</c:v>
                </c:pt>
              </c:strCache>
            </c:strRef>
          </c:tx>
          <c:spPr>
            <a:solidFill>
              <a:srgbClr val="FFAE85"/>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estudio'!$K$69:$L$69</c:f>
              <c:strCache>
                <c:ptCount val="2"/>
                <c:pt idx="0">
                  <c:v>Virtual %</c:v>
                </c:pt>
                <c:pt idx="1">
                  <c:v>Presencial %</c:v>
                </c:pt>
              </c:strCache>
            </c:strRef>
          </c:cat>
          <c:val>
            <c:numRef>
              <c:f>'Nuevo estudio'!$K$72:$L$72</c:f>
              <c:numCache>
                <c:formatCode>0%</c:formatCode>
                <c:ptCount val="2"/>
                <c:pt idx="0">
                  <c:v>0.13333333333333333</c:v>
                </c:pt>
                <c:pt idx="1">
                  <c:v>5.4545454545454543E-2</c:v>
                </c:pt>
              </c:numCache>
            </c:numRef>
          </c:val>
          <c:extLst>
            <c:ext xmlns:c16="http://schemas.microsoft.com/office/drawing/2014/chart" uri="{C3380CC4-5D6E-409C-BE32-E72D297353CC}">
              <c16:uniqueId val="{00000002-4520-4904-9530-354F33066CB6}"/>
            </c:ext>
          </c:extLst>
        </c:ser>
        <c:ser>
          <c:idx val="3"/>
          <c:order val="3"/>
          <c:tx>
            <c:strRef>
              <c:f>'Nuevo estudio'!$J$73</c:f>
              <c:strCache>
                <c:ptCount val="1"/>
                <c:pt idx="0">
                  <c:v>Regular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estudio'!$K$69:$L$69</c:f>
              <c:strCache>
                <c:ptCount val="2"/>
                <c:pt idx="0">
                  <c:v>Virtual %</c:v>
                </c:pt>
                <c:pt idx="1">
                  <c:v>Presencial %</c:v>
                </c:pt>
              </c:strCache>
            </c:strRef>
          </c:cat>
          <c:val>
            <c:numRef>
              <c:f>'Nuevo estudio'!$K$73:$L$73</c:f>
              <c:numCache>
                <c:formatCode>0%</c:formatCode>
                <c:ptCount val="2"/>
                <c:pt idx="0">
                  <c:v>0</c:v>
                </c:pt>
                <c:pt idx="1">
                  <c:v>3.6363636363636362E-2</c:v>
                </c:pt>
              </c:numCache>
            </c:numRef>
          </c:val>
          <c:extLst>
            <c:ext xmlns:c16="http://schemas.microsoft.com/office/drawing/2014/chart" uri="{C3380CC4-5D6E-409C-BE32-E72D297353CC}">
              <c16:uniqueId val="{00000003-4520-4904-9530-354F33066CB6}"/>
            </c:ext>
          </c:extLst>
        </c:ser>
        <c:ser>
          <c:idx val="4"/>
          <c:order val="4"/>
          <c:tx>
            <c:strRef>
              <c:f>'Nuevo estudio'!$J$74</c:f>
              <c:strCache>
                <c:ptCount val="1"/>
                <c:pt idx="0">
                  <c:v>Malo</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estudio'!$K$69:$L$69</c:f>
              <c:strCache>
                <c:ptCount val="2"/>
                <c:pt idx="0">
                  <c:v>Virtual %</c:v>
                </c:pt>
                <c:pt idx="1">
                  <c:v>Presencial %</c:v>
                </c:pt>
              </c:strCache>
            </c:strRef>
          </c:cat>
          <c:val>
            <c:numRef>
              <c:f>'Nuevo estudio'!$K$74:$L$74</c:f>
              <c:numCache>
                <c:formatCode>0%</c:formatCode>
                <c:ptCount val="2"/>
                <c:pt idx="0">
                  <c:v>0</c:v>
                </c:pt>
                <c:pt idx="1">
                  <c:v>1.8181818181818181E-2</c:v>
                </c:pt>
              </c:numCache>
            </c:numRef>
          </c:val>
          <c:extLst>
            <c:ext xmlns:c16="http://schemas.microsoft.com/office/drawing/2014/chart" uri="{C3380CC4-5D6E-409C-BE32-E72D297353CC}">
              <c16:uniqueId val="{00000004-4520-4904-9530-354F33066CB6}"/>
            </c:ext>
          </c:extLst>
        </c:ser>
        <c:dLbls>
          <c:showLegendKey val="0"/>
          <c:showVal val="1"/>
          <c:showCatName val="0"/>
          <c:showSerName val="0"/>
          <c:showPercent val="0"/>
          <c:showBubbleSize val="0"/>
        </c:dLbls>
        <c:gapWidth val="150"/>
        <c:shape val="box"/>
        <c:axId val="876286544"/>
        <c:axId val="876276944"/>
        <c:axId val="0"/>
      </c:bar3DChart>
      <c:catAx>
        <c:axId val="876286544"/>
        <c:scaling>
          <c:orientation val="maxMin"/>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ln>
                  <a:noFill/>
                </a:ln>
                <a:solidFill>
                  <a:sysClr val="windowText" lastClr="000000"/>
                </a:solidFill>
                <a:latin typeface="+mn-lt"/>
                <a:ea typeface="+mn-ea"/>
                <a:cs typeface="+mn-cs"/>
              </a:defRPr>
            </a:pPr>
            <a:endParaRPr lang="es-AR"/>
          </a:p>
        </c:txPr>
        <c:crossAx val="876276944"/>
        <c:crosses val="autoZero"/>
        <c:auto val="1"/>
        <c:lblAlgn val="ctr"/>
        <c:lblOffset val="100"/>
        <c:noMultiLvlLbl val="0"/>
      </c:catAx>
      <c:valAx>
        <c:axId val="876276944"/>
        <c:scaling>
          <c:orientation val="minMax"/>
        </c:scaling>
        <c:delete val="1"/>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76286544"/>
        <c:crosses val="autoZero"/>
        <c:crossBetween val="between"/>
      </c:valAx>
      <c:spPr>
        <a:noFill/>
        <a:ln>
          <a:noFill/>
        </a:ln>
        <a:effectLst/>
      </c:spPr>
    </c:plotArea>
    <c:legend>
      <c:legendPos val="b"/>
      <c:layout>
        <c:manualLayout>
          <c:xMode val="edge"/>
          <c:yMode val="edge"/>
          <c:x val="0.21367476226336748"/>
          <c:y val="0.87624738738518893"/>
          <c:w val="0.57265029335193396"/>
          <c:h val="7.0620002475338131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bg1"/>
          </a:solidFill>
        </a:defRPr>
      </a:pPr>
      <a:endParaRPr lang="es-A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r>
              <a:rPr lang="es-AR" sz="1200" b="1" i="0" u="none" strike="noStrike" baseline="0">
                <a:effectLst/>
              </a:rPr>
              <a:t>Aprendizaje Basado en Problemas </a:t>
            </a:r>
            <a:endParaRPr lang="es-AR" sz="1200" i="0">
              <a:solidFill>
                <a:sysClr val="windowText" lastClr="000000"/>
              </a:solidFill>
            </a:endParaRPr>
          </a:p>
        </c:rich>
      </c:tx>
      <c:layout>
        <c:manualLayout>
          <c:xMode val="edge"/>
          <c:yMode val="edge"/>
          <c:x val="0.22141674004638626"/>
          <c:y val="4.383158900340843E-2"/>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A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097293768081232"/>
          <c:y val="9.8162440119695452E-2"/>
          <c:w val="0.84902698437205149"/>
          <c:h val="0.75792982440901446"/>
        </c:manualLayout>
      </c:layout>
      <c:bar3DChart>
        <c:barDir val="bar"/>
        <c:grouping val="percentStacked"/>
        <c:varyColors val="0"/>
        <c:ser>
          <c:idx val="0"/>
          <c:order val="0"/>
          <c:tx>
            <c:strRef>
              <c:f>'Nuevo estudio'!$J$88</c:f>
              <c:strCache>
                <c:ptCount val="1"/>
                <c:pt idx="0">
                  <c:v>Excelente</c:v>
                </c:pt>
              </c:strCache>
            </c:strRef>
          </c:tx>
          <c:spPr>
            <a:solidFill>
              <a:schemeClr val="accent1">
                <a:lumMod val="50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estudio'!$K$87:$L$87</c:f>
              <c:strCache>
                <c:ptCount val="2"/>
                <c:pt idx="0">
                  <c:v>Virtual %</c:v>
                </c:pt>
                <c:pt idx="1">
                  <c:v>Presencial %</c:v>
                </c:pt>
              </c:strCache>
            </c:strRef>
          </c:cat>
          <c:val>
            <c:numRef>
              <c:f>'Nuevo estudio'!$K$88:$L$88</c:f>
              <c:numCache>
                <c:formatCode>0%</c:formatCode>
                <c:ptCount val="2"/>
                <c:pt idx="0">
                  <c:v>0.66666666666666663</c:v>
                </c:pt>
                <c:pt idx="1">
                  <c:v>0.54545454545454541</c:v>
                </c:pt>
              </c:numCache>
            </c:numRef>
          </c:val>
          <c:extLst>
            <c:ext xmlns:c16="http://schemas.microsoft.com/office/drawing/2014/chart" uri="{C3380CC4-5D6E-409C-BE32-E72D297353CC}">
              <c16:uniqueId val="{00000000-7C28-4B31-9D30-BC6E12E09444}"/>
            </c:ext>
          </c:extLst>
        </c:ser>
        <c:ser>
          <c:idx val="1"/>
          <c:order val="1"/>
          <c:tx>
            <c:strRef>
              <c:f>'Nuevo estudio'!$J$89</c:f>
              <c:strCache>
                <c:ptCount val="1"/>
                <c:pt idx="0">
                  <c:v>Muy bueno</c:v>
                </c:pt>
              </c:strCache>
            </c:strRef>
          </c:tx>
          <c:spPr>
            <a:solidFill>
              <a:schemeClr val="accent6">
                <a:lumMod val="75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estudio'!$K$87:$L$87</c:f>
              <c:strCache>
                <c:ptCount val="2"/>
                <c:pt idx="0">
                  <c:v>Virtual %</c:v>
                </c:pt>
                <c:pt idx="1">
                  <c:v>Presencial %</c:v>
                </c:pt>
              </c:strCache>
            </c:strRef>
          </c:cat>
          <c:val>
            <c:numRef>
              <c:f>'Nuevo estudio'!$K$89:$L$89</c:f>
              <c:numCache>
                <c:formatCode>0%</c:formatCode>
                <c:ptCount val="2"/>
                <c:pt idx="0">
                  <c:v>0.24444444444444444</c:v>
                </c:pt>
                <c:pt idx="1">
                  <c:v>0.29090909090909089</c:v>
                </c:pt>
              </c:numCache>
            </c:numRef>
          </c:val>
          <c:extLst>
            <c:ext xmlns:c16="http://schemas.microsoft.com/office/drawing/2014/chart" uri="{C3380CC4-5D6E-409C-BE32-E72D297353CC}">
              <c16:uniqueId val="{00000001-7C28-4B31-9D30-BC6E12E09444}"/>
            </c:ext>
          </c:extLst>
        </c:ser>
        <c:ser>
          <c:idx val="2"/>
          <c:order val="2"/>
          <c:tx>
            <c:strRef>
              <c:f>'Nuevo estudio'!$J$90</c:f>
              <c:strCache>
                <c:ptCount val="1"/>
                <c:pt idx="0">
                  <c:v>Bueno</c:v>
                </c:pt>
              </c:strCache>
            </c:strRef>
          </c:tx>
          <c:spPr>
            <a:solidFill>
              <a:srgbClr val="FFAE85"/>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estudio'!$K$87:$L$87</c:f>
              <c:strCache>
                <c:ptCount val="2"/>
                <c:pt idx="0">
                  <c:v>Virtual %</c:v>
                </c:pt>
                <c:pt idx="1">
                  <c:v>Presencial %</c:v>
                </c:pt>
              </c:strCache>
            </c:strRef>
          </c:cat>
          <c:val>
            <c:numRef>
              <c:f>'Nuevo estudio'!$K$90:$L$90</c:f>
              <c:numCache>
                <c:formatCode>0%</c:formatCode>
                <c:ptCount val="2"/>
                <c:pt idx="0">
                  <c:v>6.6666666666666666E-2</c:v>
                </c:pt>
                <c:pt idx="1">
                  <c:v>0.12727272727272726</c:v>
                </c:pt>
              </c:numCache>
            </c:numRef>
          </c:val>
          <c:extLst>
            <c:ext xmlns:c16="http://schemas.microsoft.com/office/drawing/2014/chart" uri="{C3380CC4-5D6E-409C-BE32-E72D297353CC}">
              <c16:uniqueId val="{00000002-7C28-4B31-9D30-BC6E12E09444}"/>
            </c:ext>
          </c:extLst>
        </c:ser>
        <c:ser>
          <c:idx val="3"/>
          <c:order val="3"/>
          <c:tx>
            <c:strRef>
              <c:f>'Nuevo estudio'!$J$91</c:f>
              <c:strCache>
                <c:ptCount val="1"/>
                <c:pt idx="0">
                  <c:v>Regular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estudio'!$K$87:$L$87</c:f>
              <c:strCache>
                <c:ptCount val="2"/>
                <c:pt idx="0">
                  <c:v>Virtual %</c:v>
                </c:pt>
                <c:pt idx="1">
                  <c:v>Presencial %</c:v>
                </c:pt>
              </c:strCache>
            </c:strRef>
          </c:cat>
          <c:val>
            <c:numRef>
              <c:f>'Nuevo estudio'!$K$91:$L$91</c:f>
              <c:numCache>
                <c:formatCode>0%</c:formatCode>
                <c:ptCount val="2"/>
                <c:pt idx="0">
                  <c:v>2.2222222222222223E-2</c:v>
                </c:pt>
                <c:pt idx="1">
                  <c:v>3.6363636363636362E-2</c:v>
                </c:pt>
              </c:numCache>
            </c:numRef>
          </c:val>
          <c:extLst>
            <c:ext xmlns:c16="http://schemas.microsoft.com/office/drawing/2014/chart" uri="{C3380CC4-5D6E-409C-BE32-E72D297353CC}">
              <c16:uniqueId val="{00000003-7C28-4B31-9D30-BC6E12E09444}"/>
            </c:ext>
          </c:extLst>
        </c:ser>
        <c:ser>
          <c:idx val="4"/>
          <c:order val="4"/>
          <c:tx>
            <c:strRef>
              <c:f>'Nuevo estudio'!$J$92</c:f>
              <c:strCache>
                <c:ptCount val="1"/>
                <c:pt idx="0">
                  <c:v>Malo</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estudio'!$K$87:$L$87</c:f>
              <c:strCache>
                <c:ptCount val="2"/>
                <c:pt idx="0">
                  <c:v>Virtual %</c:v>
                </c:pt>
                <c:pt idx="1">
                  <c:v>Presencial %</c:v>
                </c:pt>
              </c:strCache>
            </c:strRef>
          </c:cat>
          <c:val>
            <c:numRef>
              <c:f>'Nuevo estudio'!$K$92:$L$92</c:f>
              <c:numCache>
                <c:formatCode>0%</c:formatCode>
                <c:ptCount val="2"/>
                <c:pt idx="0">
                  <c:v>0</c:v>
                </c:pt>
                <c:pt idx="1">
                  <c:v>0</c:v>
                </c:pt>
              </c:numCache>
            </c:numRef>
          </c:val>
          <c:extLst>
            <c:ext xmlns:c16="http://schemas.microsoft.com/office/drawing/2014/chart" uri="{C3380CC4-5D6E-409C-BE32-E72D297353CC}">
              <c16:uniqueId val="{00000004-7C28-4B31-9D30-BC6E12E09444}"/>
            </c:ext>
          </c:extLst>
        </c:ser>
        <c:dLbls>
          <c:showLegendKey val="0"/>
          <c:showVal val="1"/>
          <c:showCatName val="0"/>
          <c:showSerName val="0"/>
          <c:showPercent val="0"/>
          <c:showBubbleSize val="0"/>
        </c:dLbls>
        <c:gapWidth val="150"/>
        <c:shape val="box"/>
        <c:axId val="876286544"/>
        <c:axId val="876276944"/>
        <c:axId val="0"/>
      </c:bar3DChart>
      <c:catAx>
        <c:axId val="876286544"/>
        <c:scaling>
          <c:orientation val="maxMin"/>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ln>
                  <a:noFill/>
                </a:ln>
                <a:solidFill>
                  <a:sysClr val="windowText" lastClr="000000"/>
                </a:solidFill>
                <a:latin typeface="+mn-lt"/>
                <a:ea typeface="+mn-ea"/>
                <a:cs typeface="+mn-cs"/>
              </a:defRPr>
            </a:pPr>
            <a:endParaRPr lang="es-AR"/>
          </a:p>
        </c:txPr>
        <c:crossAx val="876276944"/>
        <c:crosses val="autoZero"/>
        <c:auto val="1"/>
        <c:lblAlgn val="ctr"/>
        <c:lblOffset val="100"/>
        <c:noMultiLvlLbl val="0"/>
      </c:catAx>
      <c:valAx>
        <c:axId val="876276944"/>
        <c:scaling>
          <c:orientation val="minMax"/>
        </c:scaling>
        <c:delete val="1"/>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76286544"/>
        <c:crosses val="autoZero"/>
        <c:crossBetween val="between"/>
      </c:valAx>
      <c:spPr>
        <a:noFill/>
        <a:ln>
          <a:noFill/>
        </a:ln>
        <a:effectLst/>
      </c:spPr>
    </c:plotArea>
    <c:legend>
      <c:legendPos val="b"/>
      <c:layout>
        <c:manualLayout>
          <c:xMode val="edge"/>
          <c:yMode val="edge"/>
          <c:x val="0.21367476226336748"/>
          <c:y val="0.88067510489681167"/>
          <c:w val="0.57265029335193396"/>
          <c:h val="7.0620002475338131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bg1"/>
          </a:solidFill>
        </a:defRPr>
      </a:pPr>
      <a:endParaRPr lang="es-A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r>
              <a:rPr lang="es-AR" sz="1200" b="1" i="0" u="none" strike="noStrike" baseline="0">
                <a:effectLst/>
              </a:rPr>
              <a:t>Propuesta de evaluación: parciales, portfolio y ABP integrados</a:t>
            </a:r>
            <a:endParaRPr lang="es-AR" sz="1200">
              <a:solidFill>
                <a:sysClr val="windowText" lastClr="000000"/>
              </a:solidFill>
            </a:endParaRPr>
          </a:p>
        </c:rich>
      </c:tx>
      <c:layout>
        <c:manualLayout>
          <c:xMode val="edge"/>
          <c:yMode val="edge"/>
          <c:x val="0.13352498568071033"/>
          <c:y val="3.4426375250802312E-2"/>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A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097293768081232"/>
          <c:y val="0.1492080886796367"/>
          <c:w val="0.84902698437205149"/>
          <c:h val="0.82431745000947032"/>
        </c:manualLayout>
      </c:layout>
      <c:bar3DChart>
        <c:barDir val="bar"/>
        <c:grouping val="percentStacked"/>
        <c:varyColors val="0"/>
        <c:ser>
          <c:idx val="0"/>
          <c:order val="0"/>
          <c:tx>
            <c:strRef>
              <c:f>'Nuevo estudio'!$J$51</c:f>
              <c:strCache>
                <c:ptCount val="1"/>
                <c:pt idx="0">
                  <c:v>Excelente</c:v>
                </c:pt>
              </c:strCache>
            </c:strRef>
          </c:tx>
          <c:spPr>
            <a:solidFill>
              <a:schemeClr val="accent1">
                <a:lumMod val="50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estudio'!$K$50:$L$50</c:f>
              <c:strCache>
                <c:ptCount val="2"/>
                <c:pt idx="0">
                  <c:v>Virtual %</c:v>
                </c:pt>
                <c:pt idx="1">
                  <c:v>Presencial %</c:v>
                </c:pt>
              </c:strCache>
            </c:strRef>
          </c:cat>
          <c:val>
            <c:numRef>
              <c:f>'Nuevo estudio'!$K$51:$L$51</c:f>
              <c:numCache>
                <c:formatCode>0%</c:formatCode>
                <c:ptCount val="2"/>
                <c:pt idx="0">
                  <c:v>0.48888888888888887</c:v>
                </c:pt>
                <c:pt idx="1">
                  <c:v>0.36363636363636365</c:v>
                </c:pt>
              </c:numCache>
            </c:numRef>
          </c:val>
          <c:extLst>
            <c:ext xmlns:c16="http://schemas.microsoft.com/office/drawing/2014/chart" uri="{C3380CC4-5D6E-409C-BE32-E72D297353CC}">
              <c16:uniqueId val="{00000000-3BAC-481A-9630-740E84EDCC7B}"/>
            </c:ext>
          </c:extLst>
        </c:ser>
        <c:ser>
          <c:idx val="1"/>
          <c:order val="1"/>
          <c:tx>
            <c:strRef>
              <c:f>'Nuevo estudio'!$J$52</c:f>
              <c:strCache>
                <c:ptCount val="1"/>
                <c:pt idx="0">
                  <c:v>Muy bueno</c:v>
                </c:pt>
              </c:strCache>
            </c:strRef>
          </c:tx>
          <c:spPr>
            <a:solidFill>
              <a:schemeClr val="accent6">
                <a:lumMod val="75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estudio'!$K$50:$L$50</c:f>
              <c:strCache>
                <c:ptCount val="2"/>
                <c:pt idx="0">
                  <c:v>Virtual %</c:v>
                </c:pt>
                <c:pt idx="1">
                  <c:v>Presencial %</c:v>
                </c:pt>
              </c:strCache>
            </c:strRef>
          </c:cat>
          <c:val>
            <c:numRef>
              <c:f>'Nuevo estudio'!$K$52:$L$52</c:f>
              <c:numCache>
                <c:formatCode>0%</c:formatCode>
                <c:ptCount val="2"/>
                <c:pt idx="0">
                  <c:v>0.48888888888888887</c:v>
                </c:pt>
                <c:pt idx="1">
                  <c:v>0.47272727272727272</c:v>
                </c:pt>
              </c:numCache>
            </c:numRef>
          </c:val>
          <c:extLst>
            <c:ext xmlns:c16="http://schemas.microsoft.com/office/drawing/2014/chart" uri="{C3380CC4-5D6E-409C-BE32-E72D297353CC}">
              <c16:uniqueId val="{00000001-3BAC-481A-9630-740E84EDCC7B}"/>
            </c:ext>
          </c:extLst>
        </c:ser>
        <c:ser>
          <c:idx val="2"/>
          <c:order val="2"/>
          <c:tx>
            <c:strRef>
              <c:f>'Nuevo estudio'!$J$53</c:f>
              <c:strCache>
                <c:ptCount val="1"/>
                <c:pt idx="0">
                  <c:v>Bueno</c:v>
                </c:pt>
              </c:strCache>
            </c:strRef>
          </c:tx>
          <c:spPr>
            <a:solidFill>
              <a:schemeClr val="accent5">
                <a:lumMod val="60000"/>
                <a:lumOff val="40000"/>
              </a:schemeClr>
            </a:soli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estudio'!$K$50:$L$50</c:f>
              <c:strCache>
                <c:ptCount val="2"/>
                <c:pt idx="0">
                  <c:v>Virtual %</c:v>
                </c:pt>
                <c:pt idx="1">
                  <c:v>Presencial %</c:v>
                </c:pt>
              </c:strCache>
            </c:strRef>
          </c:cat>
          <c:val>
            <c:numRef>
              <c:f>'Nuevo estudio'!$K$53:$L$53</c:f>
              <c:numCache>
                <c:formatCode>0%</c:formatCode>
                <c:ptCount val="2"/>
                <c:pt idx="0">
                  <c:v>0</c:v>
                </c:pt>
                <c:pt idx="1">
                  <c:v>0.14545454545454545</c:v>
                </c:pt>
              </c:numCache>
            </c:numRef>
          </c:val>
          <c:extLst>
            <c:ext xmlns:c16="http://schemas.microsoft.com/office/drawing/2014/chart" uri="{C3380CC4-5D6E-409C-BE32-E72D297353CC}">
              <c16:uniqueId val="{00000002-3BAC-481A-9630-740E84EDCC7B}"/>
            </c:ext>
          </c:extLst>
        </c:ser>
        <c:ser>
          <c:idx val="3"/>
          <c:order val="3"/>
          <c:tx>
            <c:strRef>
              <c:f>'Nuevo estudio'!$J$54</c:f>
              <c:strCache>
                <c:ptCount val="1"/>
                <c:pt idx="0">
                  <c:v>Regular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estudio'!$K$50:$L$50</c:f>
              <c:strCache>
                <c:ptCount val="2"/>
                <c:pt idx="0">
                  <c:v>Virtual %</c:v>
                </c:pt>
                <c:pt idx="1">
                  <c:v>Presencial %</c:v>
                </c:pt>
              </c:strCache>
            </c:strRef>
          </c:cat>
          <c:val>
            <c:numRef>
              <c:f>'Nuevo estudio'!$K$54:$L$54</c:f>
              <c:numCache>
                <c:formatCode>0%</c:formatCode>
                <c:ptCount val="2"/>
                <c:pt idx="0">
                  <c:v>2.2222222222222223E-2</c:v>
                </c:pt>
                <c:pt idx="1">
                  <c:v>1.8181818181818181E-2</c:v>
                </c:pt>
              </c:numCache>
            </c:numRef>
          </c:val>
          <c:extLst>
            <c:ext xmlns:c16="http://schemas.microsoft.com/office/drawing/2014/chart" uri="{C3380CC4-5D6E-409C-BE32-E72D297353CC}">
              <c16:uniqueId val="{00000003-3BAC-481A-9630-740E84EDCC7B}"/>
            </c:ext>
          </c:extLst>
        </c:ser>
        <c:ser>
          <c:idx val="4"/>
          <c:order val="4"/>
          <c:tx>
            <c:strRef>
              <c:f>'Nuevo estudio'!$J$55</c:f>
              <c:strCache>
                <c:ptCount val="1"/>
                <c:pt idx="0">
                  <c:v>Malo</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s-A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'Nuevo estudio'!$K$50:$L$50</c:f>
              <c:strCache>
                <c:ptCount val="2"/>
                <c:pt idx="0">
                  <c:v>Virtual %</c:v>
                </c:pt>
                <c:pt idx="1">
                  <c:v>Presencial %</c:v>
                </c:pt>
              </c:strCache>
            </c:strRef>
          </c:cat>
          <c:val>
            <c:numRef>
              <c:f>'Nuevo estudio'!$K$55:$L$55</c:f>
              <c:numCache>
                <c:formatCode>0%</c:formatCode>
                <c:ptCount val="2"/>
                <c:pt idx="0">
                  <c:v>0</c:v>
                </c:pt>
                <c:pt idx="1">
                  <c:v>0</c:v>
                </c:pt>
              </c:numCache>
            </c:numRef>
          </c:val>
          <c:extLst>
            <c:ext xmlns:c16="http://schemas.microsoft.com/office/drawing/2014/chart" uri="{C3380CC4-5D6E-409C-BE32-E72D297353CC}">
              <c16:uniqueId val="{00000004-3BAC-481A-9630-740E84EDCC7B}"/>
            </c:ext>
          </c:extLst>
        </c:ser>
        <c:dLbls>
          <c:showLegendKey val="0"/>
          <c:showVal val="1"/>
          <c:showCatName val="0"/>
          <c:showSerName val="0"/>
          <c:showPercent val="0"/>
          <c:showBubbleSize val="0"/>
        </c:dLbls>
        <c:gapWidth val="150"/>
        <c:shape val="box"/>
        <c:axId val="876286544"/>
        <c:axId val="876276944"/>
        <c:axId val="0"/>
      </c:bar3DChart>
      <c:catAx>
        <c:axId val="876286544"/>
        <c:scaling>
          <c:orientation val="maxMin"/>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ln>
                  <a:noFill/>
                </a:ln>
                <a:solidFill>
                  <a:sysClr val="windowText" lastClr="000000"/>
                </a:solidFill>
                <a:latin typeface="+mn-lt"/>
                <a:ea typeface="+mn-ea"/>
                <a:cs typeface="+mn-cs"/>
              </a:defRPr>
            </a:pPr>
            <a:endParaRPr lang="es-AR"/>
          </a:p>
        </c:txPr>
        <c:crossAx val="876276944"/>
        <c:crosses val="autoZero"/>
        <c:auto val="1"/>
        <c:lblAlgn val="ctr"/>
        <c:lblOffset val="100"/>
        <c:noMultiLvlLbl val="0"/>
      </c:catAx>
      <c:valAx>
        <c:axId val="876276944"/>
        <c:scaling>
          <c:orientation val="minMax"/>
        </c:scaling>
        <c:delete val="1"/>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76286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A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bg1"/>
          </a:solidFill>
        </a:defRPr>
      </a:pPr>
      <a:endParaRPr lang="es-A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