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rsidRPr="00223BD0" w14:paraId="34C5E0DF"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E015927" w14:textId="5F83F546" w:rsidR="00B94F1A" w:rsidRPr="00223BD0" w:rsidRDefault="00223BD0" w:rsidP="00223BD0">
            <w:pPr>
              <w:spacing w:line="360" w:lineRule="auto"/>
              <w:rPr>
                <w:rFonts w:ascii="Arial" w:eastAsia="Times New Roman" w:hAnsi="Arial" w:cs="Arial"/>
              </w:rPr>
            </w:pPr>
            <w:r w:rsidRPr="00223BD0">
              <w:rPr>
                <w:rFonts w:ascii="Arial" w:eastAsia="Times New Roman" w:hAnsi="Arial" w:cs="Arial"/>
                <w:b/>
                <w:bCs/>
              </w:rPr>
              <w:t>EL PORTFOLIO COMO ESPACIO DE CONSTRUCCIÓN CREATIVA Y FORMATIVA EN LA ASIGNATURA SALUD MENTAL Y PSIQUIATRÍA, 2024.</w:t>
            </w:r>
          </w:p>
        </w:tc>
      </w:tr>
      <w:tr w:rsidR="00B94F1A" w:rsidRPr="00223BD0" w14:paraId="7AF9FD18"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41117CC0" w14:textId="6B1E1D51" w:rsidR="00223BD0" w:rsidRPr="00223BD0" w:rsidRDefault="00223BD0" w:rsidP="00223BD0">
            <w:pPr>
              <w:spacing w:line="360" w:lineRule="auto"/>
              <w:rPr>
                <w:rFonts w:ascii="Arial" w:eastAsia="Times New Roman" w:hAnsi="Arial" w:cs="Arial"/>
              </w:rPr>
            </w:pPr>
            <w:r w:rsidRPr="00223BD0">
              <w:rPr>
                <w:rFonts w:ascii="Arial" w:eastAsia="Times New Roman" w:hAnsi="Arial" w:cs="Arial"/>
              </w:rPr>
              <w:t>Juan Pablo Díaz - juanpablodiaz@med.unne.edu.ar</w:t>
            </w:r>
          </w:p>
          <w:p w14:paraId="56EBAF42" w14:textId="2C937D74" w:rsidR="00223BD0" w:rsidRPr="00223BD0" w:rsidRDefault="00223BD0" w:rsidP="00223BD0">
            <w:pPr>
              <w:spacing w:line="360" w:lineRule="auto"/>
              <w:rPr>
                <w:rFonts w:ascii="Arial" w:eastAsia="Times New Roman" w:hAnsi="Arial" w:cs="Arial"/>
              </w:rPr>
            </w:pPr>
            <w:r w:rsidRPr="00223BD0">
              <w:rPr>
                <w:rFonts w:ascii="Arial" w:eastAsia="Times New Roman" w:hAnsi="Arial" w:cs="Arial"/>
              </w:rPr>
              <w:t>María Etel Medina - etelmedina@med.unne.edu.ar</w:t>
            </w:r>
          </w:p>
          <w:p w14:paraId="26508B3A" w14:textId="0294BE8F" w:rsidR="00B94F1A" w:rsidRPr="00223BD0" w:rsidRDefault="00223BD0" w:rsidP="00223BD0">
            <w:pPr>
              <w:spacing w:line="360" w:lineRule="auto"/>
              <w:rPr>
                <w:rFonts w:ascii="Arial" w:eastAsia="Times New Roman" w:hAnsi="Arial" w:cs="Arial"/>
              </w:rPr>
            </w:pPr>
            <w:r w:rsidRPr="00223BD0">
              <w:rPr>
                <w:rFonts w:ascii="Arial" w:eastAsia="Times New Roman" w:hAnsi="Arial" w:cs="Arial"/>
              </w:rPr>
              <w:t>Lila M. Almirón - lalmiron@med.unne.edu.ar</w:t>
            </w:r>
          </w:p>
        </w:tc>
      </w:tr>
      <w:tr w:rsidR="00223BD0" w:rsidRPr="00223BD0" w14:paraId="46459E96"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36F776E" w14:textId="53BB8A39" w:rsidR="00223BD0" w:rsidRPr="00223BD0" w:rsidRDefault="00223BD0" w:rsidP="00223BD0">
            <w:pPr>
              <w:pStyle w:val="CUADRO-autores"/>
              <w:jc w:val="left"/>
            </w:pPr>
            <w:r w:rsidRPr="00223BD0">
              <w:rPr>
                <w:rFonts w:eastAsia="Times New Roman"/>
                <w:szCs w:val="22"/>
              </w:rPr>
              <w:t>Facultad de Medicina UNNE</w:t>
            </w:r>
          </w:p>
        </w:tc>
      </w:tr>
      <w:tr w:rsidR="00B94F1A" w:rsidRPr="00223BD0" w14:paraId="2AE9B2B7"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7E1C258" w14:textId="24214F9B" w:rsidR="00B94F1A" w:rsidRPr="00223BD0" w:rsidRDefault="00223BD0" w:rsidP="00223BD0">
            <w:pPr>
              <w:spacing w:line="360" w:lineRule="auto"/>
              <w:rPr>
                <w:rFonts w:ascii="Arial" w:eastAsia="Times New Roman" w:hAnsi="Arial" w:cs="Arial"/>
              </w:rPr>
            </w:pPr>
            <w:r w:rsidRPr="00223BD0">
              <w:rPr>
                <w:rFonts w:ascii="Arial" w:eastAsia="Times New Roman" w:hAnsi="Arial" w:cs="Arial"/>
                <w:b/>
                <w:bCs/>
              </w:rPr>
              <w:t xml:space="preserve">Eje 8: </w:t>
            </w:r>
            <w:r w:rsidRPr="00223BD0">
              <w:rPr>
                <w:rFonts w:ascii="Arial" w:eastAsia="Times New Roman" w:hAnsi="Arial" w:cs="Arial"/>
              </w:rPr>
              <w:t>Reflexiones en torno a la educación con tecnologías en las Ciencias de la Salud.</w:t>
            </w:r>
          </w:p>
        </w:tc>
      </w:tr>
    </w:tbl>
    <w:p w14:paraId="1D5706B5" w14:textId="7B26F80A" w:rsidR="00223BD0" w:rsidRPr="00223BD0" w:rsidRDefault="00B94F1A" w:rsidP="00223BD0">
      <w:pPr>
        <w:pBdr>
          <w:top w:val="nil"/>
          <w:left w:val="nil"/>
          <w:bottom w:val="nil"/>
          <w:right w:val="nil"/>
          <w:between w:val="nil"/>
        </w:pBdr>
        <w:spacing w:after="0"/>
        <w:rPr>
          <w:rFonts w:ascii="Arial" w:eastAsia="Aptos" w:hAnsi="Arial" w:cs="Arial"/>
          <w:color w:val="000000"/>
        </w:rPr>
      </w:pPr>
      <w:r w:rsidRPr="00A23D6F">
        <w:rPr>
          <w:rFonts w:ascii="Arial" w:eastAsia="Aptos" w:hAnsi="Arial" w:cs="Arial"/>
          <w:b/>
          <w:bCs/>
          <w:color w:val="000000"/>
        </w:rPr>
        <w:t>PALABRAS CLAVE</w:t>
      </w:r>
      <w:r w:rsidR="00223BD0" w:rsidRPr="00223BD0">
        <w:rPr>
          <w:rFonts w:ascii="Arial" w:eastAsia="Aptos" w:hAnsi="Arial" w:cs="Arial"/>
          <w:color w:val="000000"/>
        </w:rPr>
        <w:t>:</w:t>
      </w:r>
      <w:r w:rsidRPr="00223BD0">
        <w:rPr>
          <w:rFonts w:ascii="Arial" w:eastAsia="Aptos" w:hAnsi="Arial" w:cs="Arial"/>
          <w:color w:val="000000"/>
        </w:rPr>
        <w:t xml:space="preserve"> </w:t>
      </w:r>
      <w:r w:rsidR="00223BD0" w:rsidRPr="00223BD0">
        <w:rPr>
          <w:rFonts w:ascii="Arial" w:eastAsia="Times New Roman" w:hAnsi="Arial" w:cs="Arial"/>
        </w:rPr>
        <w:t>Formación disciplinar- Competencias- Universidad- Aprendizaje</w:t>
      </w:r>
    </w:p>
    <w:p w14:paraId="72360F76" w14:textId="77777777" w:rsidR="00B94F1A" w:rsidRDefault="00B94F1A" w:rsidP="00223BD0">
      <w:pPr>
        <w:spacing w:after="120"/>
        <w:rPr>
          <w:rFonts w:ascii="Arial" w:eastAsia="Arial" w:hAnsi="Arial" w:cs="Arial"/>
          <w:i/>
        </w:rPr>
      </w:pPr>
    </w:p>
    <w:p w14:paraId="1EFC28F7" w14:textId="77777777" w:rsidR="00B94F1A" w:rsidRPr="00B94F1A" w:rsidRDefault="00B94F1A" w:rsidP="00223BD0">
      <w:pPr>
        <w:pStyle w:val="mesa-titulos-cuerpo"/>
      </w:pPr>
      <w:r>
        <w:t>INTRODUCCIÓN</w:t>
      </w:r>
    </w:p>
    <w:p w14:paraId="63381DC5" w14:textId="4ED899A4" w:rsidR="00223BD0" w:rsidRDefault="00223BD0" w:rsidP="00223BD0">
      <w:pPr>
        <w:spacing w:after="0"/>
        <w:rPr>
          <w:rFonts w:ascii="Arial" w:eastAsia="Times New Roman" w:hAnsi="Arial" w:cs="Arial"/>
        </w:rPr>
      </w:pPr>
      <w:r w:rsidRPr="00063A58">
        <w:rPr>
          <w:rFonts w:ascii="Arial" w:eastAsia="Times New Roman" w:hAnsi="Arial" w:cs="Arial"/>
        </w:rPr>
        <w:t>La formación médica contemporánea exige estrategias pedagógicas que trasciendan la mera acumulación de conocimientos técnicos y promuevan una comprensión profunda, crítica y contextualizada de la práctica profesional. En este sentido, el desarrollo de competencias clínicas, comunicacionales, éticas y reflexivas requiere de entornos de aprendizaje que favorezcan la autonomía, la creatividad y la construcción identitaria del futuro médico. Una de las herramientas que ha cobrado creciente relevancia en este marco es el portfolio educativo, entendido como un instrumento que posibilita la integración de saberes, la autorregulación del aprendizaje y el desarrollo de la metacognición (</w:t>
      </w:r>
      <w:proofErr w:type="spellStart"/>
      <w:r w:rsidR="00DD1775" w:rsidRPr="00063A58">
        <w:rPr>
          <w:rFonts w:ascii="Arial" w:eastAsia="Times New Roman" w:hAnsi="Arial" w:cs="Arial"/>
        </w:rPr>
        <w:t>Driessen</w:t>
      </w:r>
      <w:proofErr w:type="spellEnd"/>
      <w:r w:rsidR="00DD1775" w:rsidRPr="00063A58">
        <w:rPr>
          <w:rFonts w:ascii="Arial" w:eastAsia="Times New Roman" w:hAnsi="Arial" w:cs="Arial"/>
        </w:rPr>
        <w:t xml:space="preserve"> et al., 2007;</w:t>
      </w:r>
      <w:r w:rsidR="00DD1775">
        <w:rPr>
          <w:rFonts w:ascii="Arial" w:eastAsia="Times New Roman" w:hAnsi="Arial" w:cs="Arial"/>
        </w:rPr>
        <w:t xml:space="preserve"> </w:t>
      </w:r>
      <w:proofErr w:type="spellStart"/>
      <w:r w:rsidRPr="00063A58">
        <w:rPr>
          <w:rFonts w:ascii="Arial" w:eastAsia="Times New Roman" w:hAnsi="Arial" w:cs="Arial"/>
        </w:rPr>
        <w:t>Tochel</w:t>
      </w:r>
      <w:proofErr w:type="spellEnd"/>
      <w:r w:rsidRPr="00063A58">
        <w:rPr>
          <w:rFonts w:ascii="Arial" w:eastAsia="Times New Roman" w:hAnsi="Arial" w:cs="Arial"/>
        </w:rPr>
        <w:t xml:space="preserve"> et al., 2009).</w:t>
      </w:r>
    </w:p>
    <w:p w14:paraId="6CC22966" w14:textId="78C61C49" w:rsidR="00223BD0" w:rsidRPr="00063A58" w:rsidRDefault="00223BD0" w:rsidP="00223BD0">
      <w:pPr>
        <w:spacing w:after="0"/>
        <w:rPr>
          <w:rFonts w:ascii="Arial" w:eastAsia="Times New Roman" w:hAnsi="Arial" w:cs="Arial"/>
        </w:rPr>
      </w:pPr>
      <w:r w:rsidRPr="00063A58">
        <w:rPr>
          <w:rFonts w:ascii="Arial" w:eastAsia="Times New Roman" w:hAnsi="Arial" w:cs="Arial"/>
        </w:rPr>
        <w:t>El portfolio no es solo un contenedor de evidencias; es un espacio dinámico donde el estudiante selecciona, organiza y reflexiona sobre sus propias experiencias de aprendizaje. Esta herramienta fomenta una actitud activa frente al conocimiento, permitiendo que cada estudiante narre su trayectoria formativa y reconozca tanto sus logros como sus desafíos, promoviendo un aprendizaje significativo (</w:t>
      </w:r>
      <w:proofErr w:type="spellStart"/>
      <w:r w:rsidRPr="00063A58">
        <w:rPr>
          <w:rFonts w:ascii="Arial" w:eastAsia="Times New Roman" w:hAnsi="Arial" w:cs="Arial"/>
        </w:rPr>
        <w:t>Biggs</w:t>
      </w:r>
      <w:proofErr w:type="spellEnd"/>
      <w:r w:rsidRPr="00063A58">
        <w:rPr>
          <w:rFonts w:ascii="Arial" w:eastAsia="Times New Roman" w:hAnsi="Arial" w:cs="Arial"/>
        </w:rPr>
        <w:t xml:space="preserve"> &amp; Tang, 2011). En el caso particular de la asignatura Salud Mental y Psiquiatría, el valor del portfolio se multiplica, ya que esta área no solo requiere de comprensión teórica, sino también del desarrollo de habilidades relacionales, capacidad de escucha, sensibilidad interpersonal y pensamiento crítico.</w:t>
      </w:r>
    </w:p>
    <w:p w14:paraId="6FBB28C9" w14:textId="604D49E2" w:rsidR="00223BD0" w:rsidRPr="00063A58" w:rsidRDefault="0021780F" w:rsidP="00223BD0">
      <w:pPr>
        <w:spacing w:after="0"/>
        <w:rPr>
          <w:rFonts w:ascii="Arial" w:eastAsia="Times New Roman" w:hAnsi="Arial" w:cs="Arial"/>
        </w:rPr>
      </w:pPr>
      <w:r>
        <w:rPr>
          <w:rFonts w:ascii="Arial" w:eastAsia="Times New Roman" w:hAnsi="Arial" w:cs="Arial"/>
        </w:rPr>
        <w:t>E</w:t>
      </w:r>
      <w:r w:rsidR="00223BD0" w:rsidRPr="00063A58">
        <w:rPr>
          <w:rFonts w:ascii="Arial" w:eastAsia="Times New Roman" w:hAnsi="Arial" w:cs="Arial"/>
        </w:rPr>
        <w:t>l uso del portfolio se vincula con enfoques constructivistas del aprendizaje (Vygotsky, 1979; Bruner, 1990), en los que el sujeto construye activamente el conocimiento a partir de su interacción con el contexto y los</w:t>
      </w:r>
      <w:r>
        <w:rPr>
          <w:rFonts w:ascii="Arial" w:eastAsia="Times New Roman" w:hAnsi="Arial" w:cs="Arial"/>
        </w:rPr>
        <w:t xml:space="preserve"> demás</w:t>
      </w:r>
      <w:r w:rsidR="00223BD0" w:rsidRPr="00063A58">
        <w:rPr>
          <w:rFonts w:ascii="Arial" w:eastAsia="Times New Roman" w:hAnsi="Arial" w:cs="Arial"/>
        </w:rPr>
        <w:t>. A su vez, propicia procesos de autorregulación (Zimmerman, 2002), dado que, al revisar sus producciones, los estudiantes planifican, supervisan y evalúan sus propias estrategias de aprendizaje, identificando necesidades formativas y proponiendo mejoras.</w:t>
      </w:r>
    </w:p>
    <w:p w14:paraId="7A18953C"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Diversos estudios en educación médica han demostrado que el portfolio potencia la reflexión profesional (Jasper, 2003), facilita el aprendizaje experiencial (Kolb, 1984), y favorece el desarrollo de competencias clínicas y humanas imprescindibles para el ejercicio ético y empático de la medicina (Shulman, 2005; </w:t>
      </w:r>
      <w:proofErr w:type="spellStart"/>
      <w:r w:rsidRPr="00063A58">
        <w:rPr>
          <w:rFonts w:ascii="Arial" w:eastAsia="Times New Roman" w:hAnsi="Arial" w:cs="Arial"/>
        </w:rPr>
        <w:t>Hodges</w:t>
      </w:r>
      <w:proofErr w:type="spellEnd"/>
      <w:r w:rsidRPr="00063A58">
        <w:rPr>
          <w:rFonts w:ascii="Arial" w:eastAsia="Times New Roman" w:hAnsi="Arial" w:cs="Arial"/>
        </w:rPr>
        <w:t xml:space="preserve">, 2006). Además, contribuye a fortalecer la identidad profesional en </w:t>
      </w:r>
      <w:r w:rsidRPr="00DD1775">
        <w:rPr>
          <w:rFonts w:ascii="Arial" w:eastAsia="Times New Roman" w:hAnsi="Arial" w:cs="Arial"/>
        </w:rPr>
        <w:t xml:space="preserve">construcción, permitiendo al estudiante integrar conocimientos disciplinares, vivencias prácticas y valores personales. </w:t>
      </w:r>
      <w:r w:rsidRPr="00DD1775">
        <w:rPr>
          <w:rFonts w:ascii="Arial" w:hAnsi="Arial" w:cs="Arial"/>
          <w:shd w:val="clear" w:color="auto" w:fill="FFFFFF"/>
        </w:rPr>
        <w:t>Al integrar estos tres aspectos, el estudiante construye una identidad profesional que es más que la suma de sus conocimientos y habilidades</w:t>
      </w:r>
      <w:r w:rsidRPr="00063A58">
        <w:rPr>
          <w:rFonts w:ascii="Arial" w:hAnsi="Arial" w:cs="Arial"/>
          <w:color w:val="001D35"/>
          <w:shd w:val="clear" w:color="auto" w:fill="FFFFFF"/>
        </w:rPr>
        <w:t>. </w:t>
      </w:r>
    </w:p>
    <w:p w14:paraId="1C22267F"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lastRenderedPageBreak/>
        <w:t xml:space="preserve">En el caso particular de la asignatura Salud Mental y Psiquiatría de la carrera de Medicina de la UNNE (2024), la incorporación del portfolio digital como herramienta pedagógica supuso </w:t>
      </w:r>
      <w:r w:rsidRPr="00DD1775">
        <w:rPr>
          <w:rFonts w:ascii="Arial" w:eastAsia="Times New Roman" w:hAnsi="Arial" w:cs="Arial"/>
        </w:rPr>
        <w:t xml:space="preserve">un cambio significativo en la dinámica de enseñanza-aprendizaje. Los estudiantes organizaron sus experiencias teóricas y prácticas a través de encuentros pedagógicos tanto del tipo </w:t>
      </w:r>
      <w:r w:rsidRPr="00DD1775">
        <w:rPr>
          <w:rFonts w:ascii="Arial" w:hAnsi="Arial" w:cs="Arial"/>
          <w:shd w:val="clear" w:color="auto" w:fill="FFFFFF"/>
        </w:rPr>
        <w:t>"presencial situado" (modalidad de aprendizaje donde la enseñanza ocurre físicamente en un lugar designado -aula- y se centra en experiencias prácticas y contextos específicos para el aprendizaje, caracterizándose por la interacción directa entre estudiantes y docente, y por la aplicación de conocimientos en situaciones reales o simuladas) como del tipo “presencial remota” (</w:t>
      </w:r>
      <w:r w:rsidRPr="00DD1775">
        <w:rPr>
          <w:rFonts w:ascii="Arial" w:eastAsia="Times New Roman" w:hAnsi="Arial" w:cs="Arial"/>
        </w:rPr>
        <w:t xml:space="preserve">actividades sincrónicas) que se articulan con actividades asincrónicas (clases por Zoom, análisis de casos clínicos, debates colaborativos, trabajos prácticos), acompañadas por registros de situaciones donde emergen aspectos </w:t>
      </w:r>
      <w:r w:rsidRPr="00063A58">
        <w:rPr>
          <w:rFonts w:ascii="Arial" w:eastAsia="Times New Roman" w:hAnsi="Arial" w:cs="Arial"/>
        </w:rPr>
        <w:t>socioemocionales. Esta modalidad no solo facilitó la apropiación crítica de los contenidos, sino que también favoreció la autonomía, la flexibilidad y la participación activa de los estudiantes en su proceso formativo.</w:t>
      </w:r>
    </w:p>
    <w:p w14:paraId="652B87D0" w14:textId="7FD97972"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Así, este trabajo se propone analizar el uso del portfolio como espacio de construcción creativa y formativa, indagando cómo los estudiantes de tercer año de medicina desarrollan competencias clínicas, comunicacionales y éticas, reflexionan sobre su formación y consolidan su identidad profesional a través de una herramienta que articula teoría, práctica y experiencia personal. </w:t>
      </w:r>
      <w:r w:rsidR="00A536AA">
        <w:rPr>
          <w:rFonts w:ascii="Arial" w:eastAsia="Times New Roman" w:hAnsi="Arial" w:cs="Arial"/>
        </w:rPr>
        <w:t>El supuesto de investigación</w:t>
      </w:r>
      <w:r w:rsidRPr="00063A58">
        <w:rPr>
          <w:rFonts w:ascii="Arial" w:eastAsia="Times New Roman" w:hAnsi="Arial" w:cs="Arial"/>
        </w:rPr>
        <w:t xml:space="preserve"> sostiene que el portfolio, lejos de ser un simple instrumento de evaluación, actúa como puente pedagógico entre el conocimiento científico y la praxis clínica, especialmente en el campo de la salud mental, donde el abordaje humanizado resulta central.</w:t>
      </w:r>
    </w:p>
    <w:p w14:paraId="7641327E" w14:textId="77777777" w:rsidR="00B94F1A" w:rsidRPr="00B94F1A" w:rsidRDefault="00B94F1A" w:rsidP="00223BD0">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OBJETIVOS</w:t>
      </w:r>
    </w:p>
    <w:p w14:paraId="1BD9619A"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General: determinar la autorregulación y la apropiación crítica de saberes de los estudiantes de medicina en salud mental y psiquiatría. </w:t>
      </w:r>
    </w:p>
    <w:p w14:paraId="7D8204DE"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Específico: identificar competencias clínicas, comunicacionales y éticas a través de la sistematización de actividades estimulando la reflexión sobre el proceso formativo y la identidad profesional en construcción.</w:t>
      </w:r>
    </w:p>
    <w:p w14:paraId="7B699A6D" w14:textId="77777777" w:rsidR="00B94F1A" w:rsidRPr="00B94F1A" w:rsidRDefault="00B94F1A" w:rsidP="00B94F1A">
      <w:pPr>
        <w:pBdr>
          <w:top w:val="nil"/>
          <w:left w:val="nil"/>
          <w:bottom w:val="nil"/>
          <w:right w:val="nil"/>
          <w:between w:val="nil"/>
        </w:pBdr>
        <w:spacing w:after="0"/>
        <w:rPr>
          <w:rFonts w:ascii="Arial" w:hAnsi="Arial" w:cs="Arial"/>
          <w:color w:val="000000"/>
        </w:rPr>
      </w:pPr>
    </w:p>
    <w:p w14:paraId="1D564D1F"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MATERIALES Y MÉTODOS</w:t>
      </w:r>
    </w:p>
    <w:p w14:paraId="0B7CEE6E"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La propuesta presenta una metodología cualitativa de análisis de contenido. Como instrumento de recolección de datos se usaron los portfolios de los estudiantes del tercer año. Con dichos datos se organizaron categorías </w:t>
      </w:r>
      <w:r w:rsidRPr="00063A58">
        <w:rPr>
          <w:rFonts w:ascii="Arial" w:eastAsia="Times New Roman" w:hAnsi="Arial" w:cs="Arial"/>
          <w:i/>
          <w:iCs/>
        </w:rPr>
        <w:t>a priori</w:t>
      </w:r>
      <w:r w:rsidRPr="00063A58">
        <w:rPr>
          <w:rFonts w:ascii="Arial" w:eastAsia="Times New Roman" w:hAnsi="Arial" w:cs="Arial"/>
        </w:rPr>
        <w:t xml:space="preserve"> y </w:t>
      </w:r>
      <w:r w:rsidRPr="00063A58">
        <w:rPr>
          <w:rFonts w:ascii="Arial" w:eastAsia="Times New Roman" w:hAnsi="Arial" w:cs="Arial"/>
          <w:i/>
          <w:iCs/>
        </w:rPr>
        <w:t>a posteriori</w:t>
      </w:r>
      <w:r w:rsidRPr="00063A58">
        <w:rPr>
          <w:rFonts w:ascii="Arial" w:eastAsia="Times New Roman" w:hAnsi="Arial" w:cs="Arial"/>
        </w:rPr>
        <w:t>. En este documento digital los estudiantes organizan a lo largo del cursado los aspectos intelectuales: Guías didácticas de aulas invertidas y videos interactivos; registros de actividades sincrónicas (clases por Zoom) y asincrónicas (videos y lecturas) así como Evidencias de trabajos prácticos, debates colaborativos y análisis de casos clínicos</w:t>
      </w:r>
      <w:r w:rsidRPr="004C03FD">
        <w:rPr>
          <w:rFonts w:ascii="Arial" w:eastAsia="Times New Roman" w:hAnsi="Arial" w:cs="Arial"/>
        </w:rPr>
        <w:t xml:space="preserve"> </w:t>
      </w:r>
      <w:r>
        <w:rPr>
          <w:rFonts w:ascii="Arial" w:eastAsia="Times New Roman" w:hAnsi="Arial" w:cs="Arial"/>
        </w:rPr>
        <w:t>realizados en la presencialidad situada</w:t>
      </w:r>
      <w:r w:rsidRPr="00063A58">
        <w:rPr>
          <w:rFonts w:ascii="Arial" w:eastAsia="Times New Roman" w:hAnsi="Arial" w:cs="Arial"/>
        </w:rPr>
        <w:t>. En el aspecto emocional, un registro de distintas situaciones o eventos donde se manifiestan aspectos socioemocionales por parte del estudiante. </w:t>
      </w:r>
    </w:p>
    <w:p w14:paraId="3A1563CF" w14:textId="77777777" w:rsidR="00B94F1A" w:rsidRPr="00B94F1A" w:rsidRDefault="00B94F1A" w:rsidP="00B94F1A">
      <w:pPr>
        <w:pBdr>
          <w:top w:val="nil"/>
          <w:left w:val="nil"/>
          <w:bottom w:val="nil"/>
          <w:right w:val="nil"/>
          <w:between w:val="nil"/>
        </w:pBdr>
        <w:spacing w:after="0"/>
        <w:rPr>
          <w:rFonts w:ascii="Arial" w:hAnsi="Arial" w:cs="Arial"/>
          <w:color w:val="000000"/>
        </w:rPr>
      </w:pPr>
    </w:p>
    <w:p w14:paraId="61A2DCC8"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RESULTADOS Y DISCUSIÓN</w:t>
      </w:r>
    </w:p>
    <w:p w14:paraId="3D0CD3DE"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Del análisis cualitativo de los portafolios de estudiantes de tercer año de la carrera de Medicina se identificaron múltiples habilidades blandas </w:t>
      </w:r>
      <w:r>
        <w:rPr>
          <w:rFonts w:ascii="Arial" w:eastAsia="Times New Roman" w:hAnsi="Arial" w:cs="Arial"/>
        </w:rPr>
        <w:t xml:space="preserve">que expresaron como </w:t>
      </w:r>
      <w:r w:rsidRPr="00063A58">
        <w:rPr>
          <w:rFonts w:ascii="Arial" w:eastAsia="Times New Roman" w:hAnsi="Arial" w:cs="Arial"/>
        </w:rPr>
        <w:t>desarrolladas durante la cursada. Estas se agruparon en categorías principales:</w:t>
      </w:r>
    </w:p>
    <w:p w14:paraId="3028CA95"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   </w:t>
      </w:r>
      <w:r w:rsidRPr="00063A58">
        <w:rPr>
          <w:rFonts w:ascii="Arial" w:eastAsia="Times New Roman" w:hAnsi="Arial" w:cs="Arial"/>
        </w:rPr>
        <w:tab/>
        <w:t>Empatía y enfoque humanístico: Los estudiantes valoraron el reconocimiento de la subjetividad del paciente, la escucha activa y la capacidad de ponerse en el lugar del otro, especialmente en situaciones de vulnerabilidad como pacientes con demencia, riesgo suicida o trastornos del ánimo.</w:t>
      </w:r>
    </w:p>
    <w:p w14:paraId="27F0954A"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   </w:t>
      </w:r>
      <w:r w:rsidRPr="00063A58">
        <w:rPr>
          <w:rFonts w:ascii="Arial" w:eastAsia="Times New Roman" w:hAnsi="Arial" w:cs="Arial"/>
        </w:rPr>
        <w:tab/>
        <w:t xml:space="preserve">Comunicación efectiva: Se fortalecieron habilidades como el uso de preguntas abiertas, validación emocional, comunicación de malas noticias y formulación clara de </w:t>
      </w:r>
      <w:r w:rsidRPr="00063A58">
        <w:rPr>
          <w:rFonts w:ascii="Arial" w:eastAsia="Times New Roman" w:hAnsi="Arial" w:cs="Arial"/>
        </w:rPr>
        <w:lastRenderedPageBreak/>
        <w:t>ideas. La entrevista motivacional fue destacada como herramienta clave para promover el diálogo empático.</w:t>
      </w:r>
    </w:p>
    <w:p w14:paraId="539C0595"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   </w:t>
      </w:r>
      <w:r w:rsidRPr="00063A58">
        <w:rPr>
          <w:rFonts w:ascii="Arial" w:eastAsia="Times New Roman" w:hAnsi="Arial" w:cs="Arial"/>
        </w:rPr>
        <w:tab/>
        <w:t>Pensamiento crítico: Se observaron capacidades para argumentar con fundamentos, identificar sesgos, analizar información de forma objetiva y cuestionar sus propias creencias, aspectos centrales para el razonamiento clínico.</w:t>
      </w:r>
    </w:p>
    <w:p w14:paraId="238F0CD5"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   </w:t>
      </w:r>
      <w:r w:rsidRPr="00063A58">
        <w:rPr>
          <w:rFonts w:ascii="Arial" w:eastAsia="Times New Roman" w:hAnsi="Arial" w:cs="Arial"/>
        </w:rPr>
        <w:tab/>
        <w:t>Trabajo en equipo y colaboración interdisciplinaria: A través de actividades grupales, debates y análisis de casos clínicos, los estudiantes aprendieron a valorar el aporte de distintos profesionales y a construir conocimientos de forma colectiva.</w:t>
      </w:r>
    </w:p>
    <w:p w14:paraId="41EC09D7" w14:textId="58AEECE6" w:rsidR="00223BD0" w:rsidRPr="00063A58" w:rsidRDefault="00223BD0" w:rsidP="00A23D6F">
      <w:pPr>
        <w:rPr>
          <w:rFonts w:ascii="Arial" w:eastAsia="Times New Roman" w:hAnsi="Arial" w:cs="Arial"/>
        </w:rPr>
      </w:pPr>
      <w:r w:rsidRPr="00063A58">
        <w:rPr>
          <w:rFonts w:ascii="Arial" w:eastAsia="Times New Roman" w:hAnsi="Arial" w:cs="Arial"/>
        </w:rPr>
        <w:t xml:space="preserve">●   </w:t>
      </w:r>
      <w:r w:rsidRPr="00063A58">
        <w:rPr>
          <w:rFonts w:ascii="Arial" w:eastAsia="Times New Roman" w:hAnsi="Arial" w:cs="Arial"/>
        </w:rPr>
        <w:tab/>
        <w:t>Profesionalismo y ética médica: Se evidenció la incorporación de principios bioéticos (beneficencia, no maleficencia, autonomía y justicia), así como el compromiso con la confidencialidad, el respeto y la responsabilidad profesional.</w:t>
      </w:r>
      <w:r w:rsidRPr="00063A58">
        <w:rPr>
          <w:rFonts w:ascii="Arial" w:eastAsia="Times New Roman" w:hAnsi="Arial" w:cs="Arial"/>
        </w:rPr>
        <w:br/>
        <w:t xml:space="preserve">●   </w:t>
      </w:r>
      <w:r w:rsidRPr="00063A58">
        <w:rPr>
          <w:rFonts w:ascii="Arial" w:eastAsia="Times New Roman" w:hAnsi="Arial" w:cs="Arial"/>
        </w:rPr>
        <w:tab/>
        <w:t>Autocuidado y regulación emocional: Los estudiantes reflexionaron sobre la importancia de su propia salud mental, adoptando estrategias para el manejo del estrés y prevención del burnout como parte de su formación integral.</w:t>
      </w:r>
      <w:r w:rsidRPr="00063A58">
        <w:rPr>
          <w:rFonts w:ascii="Arial" w:eastAsia="Times New Roman" w:hAnsi="Arial" w:cs="Arial"/>
        </w:rPr>
        <w:br/>
        <w:t xml:space="preserve">●   </w:t>
      </w:r>
      <w:r w:rsidRPr="00063A58">
        <w:rPr>
          <w:rFonts w:ascii="Arial" w:eastAsia="Times New Roman" w:hAnsi="Arial" w:cs="Arial"/>
        </w:rPr>
        <w:tab/>
        <w:t>Resolución de problemas y manejo de crisis: Se destacaron competencias para intervenir en situaciones críticas como urgencias psiquiátricas, crisis emocionales y el uso de primeros auxilios psicológicos en escenarios simulados y reales.</w:t>
      </w:r>
      <w:r w:rsidRPr="00063A58">
        <w:rPr>
          <w:rFonts w:ascii="Arial" w:eastAsia="Times New Roman" w:hAnsi="Arial" w:cs="Arial"/>
        </w:rPr>
        <w:br/>
        <w:t xml:space="preserve">●   </w:t>
      </w:r>
      <w:r w:rsidRPr="00063A58">
        <w:rPr>
          <w:rFonts w:ascii="Arial" w:eastAsia="Times New Roman" w:hAnsi="Arial" w:cs="Arial"/>
        </w:rPr>
        <w:tab/>
        <w:t xml:space="preserve">Conciencia social y promoción de la salud mental: Surgieron actitudes orientadas a la </w:t>
      </w:r>
      <w:proofErr w:type="spellStart"/>
      <w:r w:rsidRPr="00063A58">
        <w:rPr>
          <w:rFonts w:ascii="Arial" w:eastAsia="Times New Roman" w:hAnsi="Arial" w:cs="Arial"/>
        </w:rPr>
        <w:t>desestigmatización</w:t>
      </w:r>
      <w:proofErr w:type="spellEnd"/>
      <w:r w:rsidRPr="00063A58">
        <w:rPr>
          <w:rFonts w:ascii="Arial" w:eastAsia="Times New Roman" w:hAnsi="Arial" w:cs="Arial"/>
        </w:rPr>
        <w:t xml:space="preserve"> de los trastornos mentales, la inclusión social y el compromiso con la educación comunitaria en salud mental.</w:t>
      </w:r>
      <w:r w:rsidR="00A23D6F">
        <w:rPr>
          <w:rFonts w:ascii="Arial" w:eastAsia="Times New Roman" w:hAnsi="Arial" w:cs="Arial"/>
        </w:rPr>
        <w:t xml:space="preserve"> </w:t>
      </w:r>
    </w:p>
    <w:p w14:paraId="67B7EBF4"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Los hallazgos obtenidos en este estudio cualitativo sobre el uso del </w:t>
      </w:r>
      <w:r w:rsidRPr="00063A58">
        <w:rPr>
          <w:rFonts w:ascii="Arial" w:eastAsia="Times New Roman" w:hAnsi="Arial" w:cs="Arial"/>
          <w:i/>
          <w:iCs/>
        </w:rPr>
        <w:t>portfolio digital</w:t>
      </w:r>
      <w:r w:rsidRPr="00063A58">
        <w:rPr>
          <w:rFonts w:ascii="Arial" w:eastAsia="Times New Roman" w:hAnsi="Arial" w:cs="Arial"/>
        </w:rPr>
        <w:t xml:space="preserve"> en la asignatura </w:t>
      </w:r>
      <w:r w:rsidRPr="00063A58">
        <w:rPr>
          <w:rFonts w:ascii="Arial" w:eastAsia="Times New Roman" w:hAnsi="Arial" w:cs="Arial"/>
          <w:i/>
          <w:iCs/>
        </w:rPr>
        <w:t>Salud Mental y Psiquiatría</w:t>
      </w:r>
      <w:r w:rsidRPr="00063A58">
        <w:rPr>
          <w:rFonts w:ascii="Arial" w:eastAsia="Times New Roman" w:hAnsi="Arial" w:cs="Arial"/>
        </w:rPr>
        <w:t xml:space="preserve"> de la carrera de Medicina de la UNNE permiten afirmar que esta herramienta no solo cumple una función pedagógica relevante en términos de evaluación y organización de contenidos, sino que se configura como un verdadero espacio formativo, creativo y reflexivo en la construcción de la identidad profesional médica.</w:t>
      </w:r>
    </w:p>
    <w:p w14:paraId="15E3E26F"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Los resultados dialogan de manera sólida con los postulados del enfoque constructivista (Bruner, 1990; Vygotsky, 1979), al evidenciar que los estudiantes no se limitan a reproducir conocimientos, sino que los elaboran activamente en contextos significativos. Las actividades asincrónicas (videos, guías, lecturas)</w:t>
      </w:r>
      <w:r>
        <w:rPr>
          <w:rFonts w:ascii="Arial" w:eastAsia="Times New Roman" w:hAnsi="Arial" w:cs="Arial"/>
        </w:rPr>
        <w:t xml:space="preserve">, presenciales </w:t>
      </w:r>
      <w:r w:rsidRPr="00063A58">
        <w:rPr>
          <w:rFonts w:ascii="Arial" w:eastAsia="Times New Roman" w:hAnsi="Arial" w:cs="Arial"/>
        </w:rPr>
        <w:t>y sincrónicas (clases virtuales, debates colaborativos, análisis de casos) permitieron que los estudiantes movilizaran saberes, emociones y habilidades de manera situada, lo cual refuerza el carácter dialógico y contextual del aprendizaje.</w:t>
      </w:r>
    </w:p>
    <w:p w14:paraId="62727A4A"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La incorporación del </w:t>
      </w:r>
      <w:r w:rsidRPr="00063A58">
        <w:rPr>
          <w:rFonts w:ascii="Arial" w:eastAsia="Times New Roman" w:hAnsi="Arial" w:cs="Arial"/>
          <w:i/>
          <w:iCs/>
        </w:rPr>
        <w:t>portfolio</w:t>
      </w:r>
      <w:r w:rsidRPr="00063A58">
        <w:rPr>
          <w:rFonts w:ascii="Arial" w:eastAsia="Times New Roman" w:hAnsi="Arial" w:cs="Arial"/>
        </w:rPr>
        <w:t xml:space="preserve"> facilitó el desarrollo de habilidades metacognitivas, tal como lo anticipa Zimmerman (2002), ya que los estudiantes fueron capaces de planificar, monitorear y evaluar sus propios procesos de aprendizaje. Este aspecto resulta crucial en el ámbito de la educación médica, donde la toma de decisiones clínicas requiere de una constante autorregulación, pensamiento crítico y juicio ético.</w:t>
      </w:r>
    </w:p>
    <w:p w14:paraId="5CCA4B0A"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La categoría </w:t>
      </w:r>
      <w:r w:rsidRPr="00063A58">
        <w:rPr>
          <w:rFonts w:ascii="Arial" w:eastAsia="Times New Roman" w:hAnsi="Arial" w:cs="Arial"/>
          <w:i/>
          <w:iCs/>
        </w:rPr>
        <w:t>Empatía y enfoque humanístico</w:t>
      </w:r>
      <w:r w:rsidRPr="00063A58">
        <w:rPr>
          <w:rFonts w:ascii="Arial" w:eastAsia="Times New Roman" w:hAnsi="Arial" w:cs="Arial"/>
        </w:rPr>
        <w:t xml:space="preserve"> emergió como un hallazgo significativo. La sensibilidad hacia el sufrimiento psíquico del otro, la escucha activa y la capacidad de suspender juicios indican que los estudiantes comenzaron a apropiarse de un enfoque clínico centrado en la persona. Este hallazgo se alinea con los aportes de Shulman (2005) sobre las </w:t>
      </w:r>
      <w:r w:rsidRPr="00063A58">
        <w:rPr>
          <w:rFonts w:ascii="Arial" w:eastAsia="Times New Roman" w:hAnsi="Arial" w:cs="Arial"/>
          <w:i/>
          <w:iCs/>
        </w:rPr>
        <w:t>pedagogías de firma</w:t>
      </w:r>
      <w:r w:rsidRPr="00063A58">
        <w:rPr>
          <w:rFonts w:ascii="Arial" w:eastAsia="Times New Roman" w:hAnsi="Arial" w:cs="Arial"/>
        </w:rPr>
        <w:t>, en tanto prácticas docentes que marcan profundamente el estilo profesional de los futuros médicos.</w:t>
      </w:r>
    </w:p>
    <w:p w14:paraId="39746EFE" w14:textId="2632A54F"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La </w:t>
      </w:r>
      <w:r w:rsidRPr="00063A58">
        <w:rPr>
          <w:rFonts w:ascii="Arial" w:eastAsia="Times New Roman" w:hAnsi="Arial" w:cs="Arial"/>
          <w:i/>
          <w:iCs/>
        </w:rPr>
        <w:t>comunicación efectiva</w:t>
      </w:r>
      <w:r w:rsidRPr="00063A58">
        <w:rPr>
          <w:rFonts w:ascii="Arial" w:eastAsia="Times New Roman" w:hAnsi="Arial" w:cs="Arial"/>
        </w:rPr>
        <w:t xml:space="preserve"> y el uso de herramientas como la entrevista motivacional se consolidaron como competencias claves. En este sentido, el </w:t>
      </w:r>
      <w:r w:rsidRPr="00063A58">
        <w:rPr>
          <w:rFonts w:ascii="Arial" w:eastAsia="Times New Roman" w:hAnsi="Arial" w:cs="Arial"/>
          <w:i/>
          <w:iCs/>
        </w:rPr>
        <w:t>portfolio</w:t>
      </w:r>
      <w:r w:rsidRPr="00063A58">
        <w:rPr>
          <w:rFonts w:ascii="Arial" w:eastAsia="Times New Roman" w:hAnsi="Arial" w:cs="Arial"/>
        </w:rPr>
        <w:t xml:space="preserve"> actuó como un espacio de entrenamiento discursivo y emocional, permitiendo el desarrollo de habilidades relacionales fundamentales para la práctica clínica en salud mental. Estas competencias no pueden ser adquiridas exclusivamente por la vía tradicional expositiva, lo que refuerza la potencia formativa de este recurso.</w:t>
      </w:r>
      <w:r>
        <w:rPr>
          <w:rFonts w:ascii="Arial" w:eastAsia="Times New Roman" w:hAnsi="Arial" w:cs="Arial"/>
        </w:rPr>
        <w:t xml:space="preserve"> </w:t>
      </w:r>
      <w:r w:rsidRPr="00063A58">
        <w:rPr>
          <w:rFonts w:ascii="Arial" w:eastAsia="Times New Roman" w:hAnsi="Arial" w:cs="Arial"/>
        </w:rPr>
        <w:t xml:space="preserve">En la dimensión de </w:t>
      </w:r>
      <w:r w:rsidRPr="00063A58">
        <w:rPr>
          <w:rFonts w:ascii="Arial" w:eastAsia="Times New Roman" w:hAnsi="Arial" w:cs="Arial"/>
          <w:i/>
          <w:iCs/>
        </w:rPr>
        <w:t>pensamiento crítico</w:t>
      </w:r>
      <w:r w:rsidRPr="00063A58">
        <w:rPr>
          <w:rFonts w:ascii="Arial" w:eastAsia="Times New Roman" w:hAnsi="Arial" w:cs="Arial"/>
        </w:rPr>
        <w:t xml:space="preserve">, se constata una apropiación de procesos analíticos complejos: los estudiantes </w:t>
      </w:r>
      <w:r w:rsidRPr="00063A58">
        <w:rPr>
          <w:rFonts w:ascii="Arial" w:eastAsia="Times New Roman" w:hAnsi="Arial" w:cs="Arial"/>
        </w:rPr>
        <w:lastRenderedPageBreak/>
        <w:t xml:space="preserve">no solo identifican sesgos y evalúan información, sino que también cuestionan sus propios posicionamientos previos, aspecto central para construir una actitud clínica reflexiva (Jasper, 2003; </w:t>
      </w:r>
      <w:proofErr w:type="spellStart"/>
      <w:r w:rsidRPr="00063A58">
        <w:rPr>
          <w:rFonts w:ascii="Arial" w:eastAsia="Times New Roman" w:hAnsi="Arial" w:cs="Arial"/>
        </w:rPr>
        <w:t>Driessen</w:t>
      </w:r>
      <w:proofErr w:type="spellEnd"/>
      <w:r w:rsidRPr="00063A58">
        <w:rPr>
          <w:rFonts w:ascii="Arial" w:eastAsia="Times New Roman" w:hAnsi="Arial" w:cs="Arial"/>
        </w:rPr>
        <w:t xml:space="preserve"> et al., 2007). Esto demuestra que el </w:t>
      </w:r>
      <w:r w:rsidRPr="00063A58">
        <w:rPr>
          <w:rFonts w:ascii="Arial" w:eastAsia="Times New Roman" w:hAnsi="Arial" w:cs="Arial"/>
          <w:i/>
          <w:iCs/>
        </w:rPr>
        <w:t>portfolio</w:t>
      </w:r>
      <w:r w:rsidRPr="00063A58">
        <w:rPr>
          <w:rFonts w:ascii="Arial" w:eastAsia="Times New Roman" w:hAnsi="Arial" w:cs="Arial"/>
        </w:rPr>
        <w:t>, en tanto dispositivo de autorreflexión, fomenta una práctica académica y profesional intelectualmente rigurosa y éticamente comprometida.</w:t>
      </w:r>
    </w:p>
    <w:p w14:paraId="42D2D7B8"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La categoría </w:t>
      </w:r>
      <w:r w:rsidRPr="00063A58">
        <w:rPr>
          <w:rFonts w:ascii="Arial" w:eastAsia="Times New Roman" w:hAnsi="Arial" w:cs="Arial"/>
          <w:i/>
          <w:iCs/>
        </w:rPr>
        <w:t>trabajo en equipo e interdisciplinariedad</w:t>
      </w:r>
      <w:r w:rsidRPr="00063A58">
        <w:rPr>
          <w:rFonts w:ascii="Arial" w:eastAsia="Times New Roman" w:hAnsi="Arial" w:cs="Arial"/>
        </w:rPr>
        <w:t xml:space="preserve"> también ofrece una lectura relevante en clave de educación para la colaboración. En un campo como el de la salud mental, donde convergen múltiples disciplinas y saberes, resulta indispensable que el estudiante de medicina aprenda a construir conocimiento en colectivo, reconociendo la complejidad del sujeto y sus contextos. El </w:t>
      </w:r>
      <w:r w:rsidRPr="00063A58">
        <w:rPr>
          <w:rFonts w:ascii="Arial" w:eastAsia="Times New Roman" w:hAnsi="Arial" w:cs="Arial"/>
          <w:i/>
          <w:iCs/>
        </w:rPr>
        <w:t>portfolio</w:t>
      </w:r>
      <w:r w:rsidRPr="00063A58">
        <w:rPr>
          <w:rFonts w:ascii="Arial" w:eastAsia="Times New Roman" w:hAnsi="Arial" w:cs="Arial"/>
        </w:rPr>
        <w:t xml:space="preserve"> potenció este aprendizaje colaborativo al registrar y reflexionar sobre las experiencias grupales.</w:t>
      </w:r>
    </w:p>
    <w:p w14:paraId="2DAA98B1"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El </w:t>
      </w:r>
      <w:r w:rsidRPr="00063A58">
        <w:rPr>
          <w:rFonts w:ascii="Arial" w:eastAsia="Times New Roman" w:hAnsi="Arial" w:cs="Arial"/>
          <w:i/>
          <w:iCs/>
        </w:rPr>
        <w:t>profesionalismo</w:t>
      </w:r>
      <w:r w:rsidRPr="00063A58">
        <w:rPr>
          <w:rFonts w:ascii="Arial" w:eastAsia="Times New Roman" w:hAnsi="Arial" w:cs="Arial"/>
        </w:rPr>
        <w:t xml:space="preserve"> y la </w:t>
      </w:r>
      <w:r w:rsidRPr="00063A58">
        <w:rPr>
          <w:rFonts w:ascii="Arial" w:eastAsia="Times New Roman" w:hAnsi="Arial" w:cs="Arial"/>
          <w:i/>
          <w:iCs/>
        </w:rPr>
        <w:t>ética médica</w:t>
      </w:r>
      <w:r w:rsidRPr="00063A58">
        <w:rPr>
          <w:rFonts w:ascii="Arial" w:eastAsia="Times New Roman" w:hAnsi="Arial" w:cs="Arial"/>
        </w:rPr>
        <w:t xml:space="preserve"> emergen no solo como contenidos formales, sino como prácticas internalizadas: los estudiantes evidenciaron compromiso con la confidencialidad, la autonomía del paciente y la justicia distributiva. Este tipo de reflexión ética cobra especial relevancia en salud mental, donde el estigma y la vulnerabilidad de los pacientes demandan un abordaje respetuoso, informado y sensible (</w:t>
      </w:r>
      <w:proofErr w:type="spellStart"/>
      <w:r w:rsidRPr="00063A58">
        <w:rPr>
          <w:rFonts w:ascii="Arial" w:eastAsia="Times New Roman" w:hAnsi="Arial" w:cs="Arial"/>
        </w:rPr>
        <w:t>Hodges</w:t>
      </w:r>
      <w:proofErr w:type="spellEnd"/>
      <w:r w:rsidRPr="00063A58">
        <w:rPr>
          <w:rFonts w:ascii="Arial" w:eastAsia="Times New Roman" w:hAnsi="Arial" w:cs="Arial"/>
        </w:rPr>
        <w:t>, 2006).</w:t>
      </w:r>
    </w:p>
    <w:p w14:paraId="04B098E5"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Una contribución novedosa de este estudio es el reconocimiento del </w:t>
      </w:r>
      <w:r w:rsidRPr="00063A58">
        <w:rPr>
          <w:rFonts w:ascii="Arial" w:eastAsia="Times New Roman" w:hAnsi="Arial" w:cs="Arial"/>
          <w:i/>
          <w:iCs/>
        </w:rPr>
        <w:t>autocuidado</w:t>
      </w:r>
      <w:r w:rsidRPr="00063A58">
        <w:rPr>
          <w:rFonts w:ascii="Arial" w:eastAsia="Times New Roman" w:hAnsi="Arial" w:cs="Arial"/>
        </w:rPr>
        <w:t xml:space="preserve"> y la </w:t>
      </w:r>
      <w:r w:rsidRPr="00063A58">
        <w:rPr>
          <w:rFonts w:ascii="Arial" w:eastAsia="Times New Roman" w:hAnsi="Arial" w:cs="Arial"/>
          <w:i/>
          <w:iCs/>
        </w:rPr>
        <w:t>regulación emocional</w:t>
      </w:r>
      <w:r w:rsidRPr="00063A58">
        <w:rPr>
          <w:rFonts w:ascii="Arial" w:eastAsia="Times New Roman" w:hAnsi="Arial" w:cs="Arial"/>
        </w:rPr>
        <w:t xml:space="preserve"> como componentes centrales del currículum oculto que emergen en el </w:t>
      </w:r>
      <w:r w:rsidRPr="00063A58">
        <w:rPr>
          <w:rFonts w:ascii="Arial" w:eastAsia="Times New Roman" w:hAnsi="Arial" w:cs="Arial"/>
          <w:i/>
          <w:iCs/>
        </w:rPr>
        <w:t>portfolio</w:t>
      </w:r>
      <w:r w:rsidRPr="00063A58">
        <w:rPr>
          <w:rFonts w:ascii="Arial" w:eastAsia="Times New Roman" w:hAnsi="Arial" w:cs="Arial"/>
        </w:rPr>
        <w:t>. Los estudiantes no solo aprendieron a cuidar al otro, sino que reconocieron la necesidad de cuidar(se) para evitar el desgaste emocional propio del ejercicio profesional en contextos de sufrimiento psíquico. Este resultado interpela directamente a las instituciones formadoras, invitándolas a integrar el bienestar emocional del estudiante como dimensión pedagógica legítima.</w:t>
      </w:r>
    </w:p>
    <w:p w14:paraId="05E62D76"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Finalmente, la </w:t>
      </w:r>
      <w:r w:rsidRPr="00063A58">
        <w:rPr>
          <w:rFonts w:ascii="Arial" w:eastAsia="Times New Roman" w:hAnsi="Arial" w:cs="Arial"/>
          <w:i/>
          <w:iCs/>
        </w:rPr>
        <w:t>conciencia social</w:t>
      </w:r>
      <w:r w:rsidRPr="00063A58">
        <w:rPr>
          <w:rFonts w:ascii="Arial" w:eastAsia="Times New Roman" w:hAnsi="Arial" w:cs="Arial"/>
        </w:rPr>
        <w:t xml:space="preserve"> y la </w:t>
      </w:r>
      <w:r w:rsidRPr="00063A58">
        <w:rPr>
          <w:rFonts w:ascii="Arial" w:eastAsia="Times New Roman" w:hAnsi="Arial" w:cs="Arial"/>
          <w:i/>
          <w:iCs/>
        </w:rPr>
        <w:t>promoción de la salud mental</w:t>
      </w:r>
      <w:r w:rsidRPr="00063A58">
        <w:rPr>
          <w:rFonts w:ascii="Arial" w:eastAsia="Times New Roman" w:hAnsi="Arial" w:cs="Arial"/>
        </w:rPr>
        <w:t xml:space="preserve"> como habilidades desarrolladas sugieren un posicionamiento ético-político de los futuros médicos en clave de justicia social. Esto reafirma el potencial del </w:t>
      </w:r>
      <w:r w:rsidRPr="00063A58">
        <w:rPr>
          <w:rFonts w:ascii="Arial" w:eastAsia="Times New Roman" w:hAnsi="Arial" w:cs="Arial"/>
          <w:i/>
          <w:iCs/>
        </w:rPr>
        <w:t>portfolio</w:t>
      </w:r>
      <w:r w:rsidRPr="00063A58">
        <w:rPr>
          <w:rFonts w:ascii="Arial" w:eastAsia="Times New Roman" w:hAnsi="Arial" w:cs="Arial"/>
        </w:rPr>
        <w:t xml:space="preserve"> como herramienta que articula saberes disciplinares, biográficos y </w:t>
      </w:r>
      <w:proofErr w:type="spellStart"/>
      <w:r w:rsidRPr="00063A58">
        <w:rPr>
          <w:rFonts w:ascii="Arial" w:eastAsia="Times New Roman" w:hAnsi="Arial" w:cs="Arial"/>
        </w:rPr>
        <w:t>sociocomunitarios</w:t>
      </w:r>
      <w:proofErr w:type="spellEnd"/>
      <w:r w:rsidRPr="00063A58">
        <w:rPr>
          <w:rFonts w:ascii="Arial" w:eastAsia="Times New Roman" w:hAnsi="Arial" w:cs="Arial"/>
        </w:rPr>
        <w:t>, promoviendo un compromiso profesional más allá del aula.</w:t>
      </w:r>
    </w:p>
    <w:p w14:paraId="6A6AB80B"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 xml:space="preserve">En conjunto, estos hallazgos permiten sostener que el </w:t>
      </w:r>
      <w:r w:rsidRPr="00063A58">
        <w:rPr>
          <w:rFonts w:ascii="Arial" w:eastAsia="Times New Roman" w:hAnsi="Arial" w:cs="Arial"/>
          <w:i/>
          <w:iCs/>
        </w:rPr>
        <w:t>portfolio digital</w:t>
      </w:r>
      <w:r w:rsidRPr="00063A58">
        <w:rPr>
          <w:rFonts w:ascii="Arial" w:eastAsia="Times New Roman" w:hAnsi="Arial" w:cs="Arial"/>
        </w:rPr>
        <w:t xml:space="preserve"> constituye mucho más que un repositorio de actividades. Es una estrategia pedagógica potente que, cuando se implementa con intencionalidad formativa, favorece aprendizajes complejos, impulsa el pensamiento reflexivo y contribuye a la formación integral del estudiante de Medicina. Tal como sostiene Kolb (1984), el aprendizaje significativo requiere de la experiencia, la reflexión, la conceptualización y la experimentación activa. El </w:t>
      </w:r>
      <w:r w:rsidRPr="00063A58">
        <w:rPr>
          <w:rFonts w:ascii="Arial" w:eastAsia="Times New Roman" w:hAnsi="Arial" w:cs="Arial"/>
          <w:i/>
          <w:iCs/>
        </w:rPr>
        <w:t>portfolio</w:t>
      </w:r>
      <w:r w:rsidRPr="00063A58">
        <w:rPr>
          <w:rFonts w:ascii="Arial" w:eastAsia="Times New Roman" w:hAnsi="Arial" w:cs="Arial"/>
        </w:rPr>
        <w:t>, en este caso, logró articular estas dimensiones en un espacio singular de producción de subjetividad profesional.</w:t>
      </w:r>
    </w:p>
    <w:p w14:paraId="5EEB36E2" w14:textId="77777777" w:rsidR="00B94F1A" w:rsidRPr="00B94F1A" w:rsidRDefault="00B94F1A" w:rsidP="00B94F1A">
      <w:pPr>
        <w:pBdr>
          <w:top w:val="nil"/>
          <w:left w:val="nil"/>
          <w:bottom w:val="nil"/>
          <w:right w:val="nil"/>
          <w:between w:val="nil"/>
        </w:pBdr>
        <w:spacing w:after="0"/>
        <w:rPr>
          <w:rFonts w:ascii="Arial" w:hAnsi="Arial" w:cs="Arial"/>
          <w:color w:val="000000"/>
        </w:rPr>
      </w:pPr>
    </w:p>
    <w:p w14:paraId="00A56C0C"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 xml:space="preserve">CONCLUSIONES </w:t>
      </w:r>
    </w:p>
    <w:p w14:paraId="1BA4201B"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En el marco de la formación médica, el portfolio se presenta como una herramienta pedagógica valiosa que promueve la construcción reflexiva y creativa del conocimiento. En la asignatura Salud Mental y Psiquiatría, correspondiente al tercer año de la carrera de Medicina de la Universidad Nacional del Nordeste (UNNE), los estudiantes, en su mayoría jóvenes menores de 23 años, han valorado positivamente esta estrategia por su potencial para integrar contenidos disciplinares con experiencias significativas de aprendizaje.</w:t>
      </w:r>
    </w:p>
    <w:p w14:paraId="0270631C"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El portfolio funcionó como un espacio dinámico que favorece la autorregulación, la apropiación crítica de saberes y el desarrollo de competencias clínicas, comunicacionales y éticas propias del campo de la salud mental. Mediante la sistematización de clases, actividades y recursos, los estudiantes logran organizar y profundizar los contenidos teóricos, así como también articularlos con situaciones prácticas y vivenciales que fortalecen la identidad profesional en construcción.</w:t>
      </w:r>
    </w:p>
    <w:p w14:paraId="2C96DE99"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lastRenderedPageBreak/>
        <w:t>Entre los elementos más valorados, se destacan las propuestas de aula invertida, el uso de videos interactivos, el juego de roles y las estrategias didácticas creativas utilizadas por el equipo docente. Estas metodologías no tradicionales propiciaron un aprendizaje activo, colaborativo y situado, permitiendo a los estudiantes participar de manera más comprometida con su formación. El portfolio habilitó instancias de reflexión sobre su propio proceso formativo, identificando avances, dificultades, vulnerabilidades y nuevas preguntas en torno al rol como futuros profesionales de la salud.</w:t>
      </w:r>
    </w:p>
    <w:p w14:paraId="32E65A9E" w14:textId="77777777" w:rsidR="00223BD0" w:rsidRPr="00063A58" w:rsidRDefault="00223BD0" w:rsidP="00223BD0">
      <w:pPr>
        <w:spacing w:after="0"/>
        <w:rPr>
          <w:rFonts w:ascii="Arial" w:eastAsia="Times New Roman" w:hAnsi="Arial" w:cs="Arial"/>
        </w:rPr>
      </w:pPr>
      <w:r w:rsidRPr="00063A58">
        <w:rPr>
          <w:rFonts w:ascii="Arial" w:eastAsia="Times New Roman" w:hAnsi="Arial" w:cs="Arial"/>
        </w:rPr>
        <w:t>En conclusión, el portfolio no solo ha sido una herramienta de evaluación continua, sino también un espacio de diálogo entre teoría y práctica, entre saberes académicos y trayectorias personales, entre el estudiante y su contexto. Su implementación en la asignatura Salud Mental y Psiquiatría ha demostrado ser un recurso potente para promover aprendizajes significativos, fomentar la creatividad y consolidar la formación integral de los estudiantes de Medicina.</w:t>
      </w:r>
    </w:p>
    <w:p w14:paraId="4F0AF9D8" w14:textId="77777777" w:rsidR="00B94F1A" w:rsidRDefault="00B94F1A" w:rsidP="00B94F1A">
      <w:pPr>
        <w:spacing w:beforeLines="20" w:before="48" w:after="0"/>
        <w:jc w:val="both"/>
        <w:rPr>
          <w:rFonts w:ascii="Arial" w:eastAsia="Arial" w:hAnsi="Arial" w:cs="Arial"/>
        </w:rPr>
      </w:pPr>
    </w:p>
    <w:p w14:paraId="731FA896" w14:textId="77777777" w:rsidR="00B94F1A" w:rsidRPr="008F6BB6" w:rsidRDefault="00B94F1A" w:rsidP="00B94F1A">
      <w:pPr>
        <w:pStyle w:val="mesa-titulos-cuerpo"/>
      </w:pPr>
      <w:r w:rsidRPr="008F6BB6">
        <w:t>REFERENCIAS BIBLIOGRÁFICAS</w:t>
      </w:r>
    </w:p>
    <w:p w14:paraId="758F3A84" w14:textId="77777777" w:rsidR="00223BD0" w:rsidRDefault="00223BD0" w:rsidP="00223BD0">
      <w:pPr>
        <w:pStyle w:val="Prrafodelista"/>
        <w:numPr>
          <w:ilvl w:val="0"/>
          <w:numId w:val="30"/>
        </w:numPr>
        <w:spacing w:after="0"/>
        <w:ind w:left="142" w:hanging="142"/>
        <w:rPr>
          <w:rFonts w:ascii="Arial" w:eastAsia="Times New Roman" w:hAnsi="Arial" w:cs="Arial"/>
        </w:rPr>
      </w:pPr>
      <w:proofErr w:type="spellStart"/>
      <w:r w:rsidRPr="00223BD0">
        <w:rPr>
          <w:rFonts w:ascii="Arial" w:eastAsia="Times New Roman" w:hAnsi="Arial" w:cs="Arial"/>
        </w:rPr>
        <w:t>Biggs</w:t>
      </w:r>
      <w:proofErr w:type="spellEnd"/>
      <w:r w:rsidRPr="00223BD0">
        <w:rPr>
          <w:rFonts w:ascii="Arial" w:eastAsia="Times New Roman" w:hAnsi="Arial" w:cs="Arial"/>
        </w:rPr>
        <w:t xml:space="preserve">, J., &amp; Tang, C. (2011). </w:t>
      </w:r>
      <w:proofErr w:type="spellStart"/>
      <w:r w:rsidRPr="00223BD0">
        <w:rPr>
          <w:rFonts w:ascii="Arial" w:eastAsia="Times New Roman" w:hAnsi="Arial" w:cs="Arial"/>
          <w:i/>
          <w:iCs/>
        </w:rPr>
        <w:t>Teaching</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for</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Quality</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Learning</w:t>
      </w:r>
      <w:proofErr w:type="spellEnd"/>
      <w:r w:rsidRPr="00223BD0">
        <w:rPr>
          <w:rFonts w:ascii="Arial" w:eastAsia="Times New Roman" w:hAnsi="Arial" w:cs="Arial"/>
          <w:i/>
          <w:iCs/>
        </w:rPr>
        <w:t xml:space="preserve"> at </w:t>
      </w:r>
      <w:proofErr w:type="spellStart"/>
      <w:r w:rsidRPr="00223BD0">
        <w:rPr>
          <w:rFonts w:ascii="Arial" w:eastAsia="Times New Roman" w:hAnsi="Arial" w:cs="Arial"/>
          <w:i/>
          <w:iCs/>
        </w:rPr>
        <w:t>University</w:t>
      </w:r>
      <w:proofErr w:type="spellEnd"/>
      <w:r w:rsidRPr="00223BD0">
        <w:rPr>
          <w:rFonts w:ascii="Arial" w:eastAsia="Times New Roman" w:hAnsi="Arial" w:cs="Arial"/>
        </w:rPr>
        <w:t xml:space="preserve"> (4th ed.). McGraw-Hill </w:t>
      </w:r>
      <w:proofErr w:type="spellStart"/>
      <w:r w:rsidRPr="00223BD0">
        <w:rPr>
          <w:rFonts w:ascii="Arial" w:eastAsia="Times New Roman" w:hAnsi="Arial" w:cs="Arial"/>
        </w:rPr>
        <w:t>Education</w:t>
      </w:r>
      <w:proofErr w:type="spellEnd"/>
      <w:r w:rsidRPr="00223BD0">
        <w:rPr>
          <w:rFonts w:ascii="Arial" w:eastAsia="Times New Roman" w:hAnsi="Arial" w:cs="Arial"/>
        </w:rPr>
        <w:t>.</w:t>
      </w:r>
    </w:p>
    <w:p w14:paraId="6FA272FF" w14:textId="77777777" w:rsidR="00223BD0" w:rsidRDefault="00223BD0" w:rsidP="00223BD0">
      <w:pPr>
        <w:pStyle w:val="Prrafodelista"/>
        <w:numPr>
          <w:ilvl w:val="0"/>
          <w:numId w:val="30"/>
        </w:numPr>
        <w:spacing w:after="0"/>
        <w:ind w:left="142" w:hanging="142"/>
        <w:rPr>
          <w:rFonts w:ascii="Arial" w:eastAsia="Times New Roman" w:hAnsi="Arial" w:cs="Arial"/>
        </w:rPr>
      </w:pPr>
      <w:r w:rsidRPr="00223BD0">
        <w:rPr>
          <w:rFonts w:ascii="Arial" w:eastAsia="Times New Roman" w:hAnsi="Arial" w:cs="Arial"/>
        </w:rPr>
        <w:t xml:space="preserve">Bruner, J. (1990). </w:t>
      </w:r>
      <w:proofErr w:type="spellStart"/>
      <w:r w:rsidRPr="00223BD0">
        <w:rPr>
          <w:rFonts w:ascii="Arial" w:eastAsia="Times New Roman" w:hAnsi="Arial" w:cs="Arial"/>
          <w:i/>
          <w:iCs/>
        </w:rPr>
        <w:t>Acts</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of</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Meaning</w:t>
      </w:r>
      <w:proofErr w:type="spellEnd"/>
      <w:r w:rsidRPr="00223BD0">
        <w:rPr>
          <w:rFonts w:ascii="Arial" w:eastAsia="Times New Roman" w:hAnsi="Arial" w:cs="Arial"/>
        </w:rPr>
        <w:t xml:space="preserve">. Harvard </w:t>
      </w:r>
      <w:proofErr w:type="spellStart"/>
      <w:r w:rsidRPr="00223BD0">
        <w:rPr>
          <w:rFonts w:ascii="Arial" w:eastAsia="Times New Roman" w:hAnsi="Arial" w:cs="Arial"/>
        </w:rPr>
        <w:t>University</w:t>
      </w:r>
      <w:proofErr w:type="spellEnd"/>
      <w:r w:rsidRPr="00223BD0">
        <w:rPr>
          <w:rFonts w:ascii="Arial" w:eastAsia="Times New Roman" w:hAnsi="Arial" w:cs="Arial"/>
        </w:rPr>
        <w:t xml:space="preserve"> </w:t>
      </w:r>
      <w:proofErr w:type="spellStart"/>
      <w:r w:rsidRPr="00223BD0">
        <w:rPr>
          <w:rFonts w:ascii="Arial" w:eastAsia="Times New Roman" w:hAnsi="Arial" w:cs="Arial"/>
        </w:rPr>
        <w:t>Press</w:t>
      </w:r>
      <w:proofErr w:type="spellEnd"/>
      <w:r w:rsidRPr="00223BD0">
        <w:rPr>
          <w:rFonts w:ascii="Arial" w:eastAsia="Times New Roman" w:hAnsi="Arial" w:cs="Arial"/>
        </w:rPr>
        <w:t>.</w:t>
      </w:r>
    </w:p>
    <w:p w14:paraId="0B8A0C77" w14:textId="77777777" w:rsidR="00223BD0" w:rsidRDefault="00223BD0" w:rsidP="00223BD0">
      <w:pPr>
        <w:pStyle w:val="Prrafodelista"/>
        <w:numPr>
          <w:ilvl w:val="0"/>
          <w:numId w:val="30"/>
        </w:numPr>
        <w:spacing w:after="0"/>
        <w:ind w:left="142" w:hanging="142"/>
        <w:rPr>
          <w:rFonts w:ascii="Arial" w:eastAsia="Times New Roman" w:hAnsi="Arial" w:cs="Arial"/>
        </w:rPr>
      </w:pPr>
      <w:proofErr w:type="spellStart"/>
      <w:r w:rsidRPr="00223BD0">
        <w:rPr>
          <w:rFonts w:ascii="Arial" w:eastAsia="Times New Roman" w:hAnsi="Arial" w:cs="Arial"/>
        </w:rPr>
        <w:t>Driessen</w:t>
      </w:r>
      <w:proofErr w:type="spellEnd"/>
      <w:r w:rsidRPr="00223BD0">
        <w:rPr>
          <w:rFonts w:ascii="Arial" w:eastAsia="Times New Roman" w:hAnsi="Arial" w:cs="Arial"/>
        </w:rPr>
        <w:t xml:space="preserve">, E., van </w:t>
      </w:r>
      <w:proofErr w:type="spellStart"/>
      <w:r w:rsidRPr="00223BD0">
        <w:rPr>
          <w:rFonts w:ascii="Arial" w:eastAsia="Times New Roman" w:hAnsi="Arial" w:cs="Arial"/>
        </w:rPr>
        <w:t>Tartwijk</w:t>
      </w:r>
      <w:proofErr w:type="spellEnd"/>
      <w:r w:rsidRPr="00223BD0">
        <w:rPr>
          <w:rFonts w:ascii="Arial" w:eastAsia="Times New Roman" w:hAnsi="Arial" w:cs="Arial"/>
        </w:rPr>
        <w:t xml:space="preserve">, J., </w:t>
      </w:r>
      <w:proofErr w:type="spellStart"/>
      <w:r w:rsidRPr="00223BD0">
        <w:rPr>
          <w:rFonts w:ascii="Arial" w:eastAsia="Times New Roman" w:hAnsi="Arial" w:cs="Arial"/>
        </w:rPr>
        <w:t>Overeem</w:t>
      </w:r>
      <w:proofErr w:type="spellEnd"/>
      <w:r w:rsidRPr="00223BD0">
        <w:rPr>
          <w:rFonts w:ascii="Arial" w:eastAsia="Times New Roman" w:hAnsi="Arial" w:cs="Arial"/>
        </w:rPr>
        <w:t xml:space="preserve">, K., </w:t>
      </w:r>
      <w:proofErr w:type="spellStart"/>
      <w:r w:rsidRPr="00223BD0">
        <w:rPr>
          <w:rFonts w:ascii="Arial" w:eastAsia="Times New Roman" w:hAnsi="Arial" w:cs="Arial"/>
        </w:rPr>
        <w:t>Vermunt</w:t>
      </w:r>
      <w:proofErr w:type="spellEnd"/>
      <w:r w:rsidRPr="00223BD0">
        <w:rPr>
          <w:rFonts w:ascii="Arial" w:eastAsia="Times New Roman" w:hAnsi="Arial" w:cs="Arial"/>
        </w:rPr>
        <w:t xml:space="preserve">, J., &amp; van </w:t>
      </w:r>
      <w:proofErr w:type="spellStart"/>
      <w:r w:rsidRPr="00223BD0">
        <w:rPr>
          <w:rFonts w:ascii="Arial" w:eastAsia="Times New Roman" w:hAnsi="Arial" w:cs="Arial"/>
        </w:rPr>
        <w:t>der</w:t>
      </w:r>
      <w:proofErr w:type="spellEnd"/>
      <w:r w:rsidRPr="00223BD0">
        <w:rPr>
          <w:rFonts w:ascii="Arial" w:eastAsia="Times New Roman" w:hAnsi="Arial" w:cs="Arial"/>
        </w:rPr>
        <w:t xml:space="preserve"> </w:t>
      </w:r>
      <w:proofErr w:type="spellStart"/>
      <w:r w:rsidRPr="00223BD0">
        <w:rPr>
          <w:rFonts w:ascii="Arial" w:eastAsia="Times New Roman" w:hAnsi="Arial" w:cs="Arial"/>
        </w:rPr>
        <w:t>Vleuten</w:t>
      </w:r>
      <w:proofErr w:type="spellEnd"/>
      <w:r w:rsidRPr="00223BD0">
        <w:rPr>
          <w:rFonts w:ascii="Arial" w:eastAsia="Times New Roman" w:hAnsi="Arial" w:cs="Arial"/>
        </w:rPr>
        <w:t xml:space="preserve">, C. (2007). </w:t>
      </w:r>
      <w:proofErr w:type="spellStart"/>
      <w:r w:rsidRPr="00223BD0">
        <w:rPr>
          <w:rFonts w:ascii="Arial" w:eastAsia="Times New Roman" w:hAnsi="Arial" w:cs="Arial"/>
        </w:rPr>
        <w:t>Conditions</w:t>
      </w:r>
      <w:proofErr w:type="spellEnd"/>
      <w:r w:rsidRPr="00223BD0">
        <w:rPr>
          <w:rFonts w:ascii="Arial" w:eastAsia="Times New Roman" w:hAnsi="Arial" w:cs="Arial"/>
        </w:rPr>
        <w:t xml:space="preserve"> </w:t>
      </w:r>
      <w:proofErr w:type="spellStart"/>
      <w:r w:rsidRPr="00223BD0">
        <w:rPr>
          <w:rFonts w:ascii="Arial" w:eastAsia="Times New Roman" w:hAnsi="Arial" w:cs="Arial"/>
        </w:rPr>
        <w:t>for</w:t>
      </w:r>
      <w:proofErr w:type="spellEnd"/>
      <w:r w:rsidRPr="00223BD0">
        <w:rPr>
          <w:rFonts w:ascii="Arial" w:eastAsia="Times New Roman" w:hAnsi="Arial" w:cs="Arial"/>
        </w:rPr>
        <w:t xml:space="preserve"> </w:t>
      </w:r>
      <w:proofErr w:type="spellStart"/>
      <w:r w:rsidRPr="00223BD0">
        <w:rPr>
          <w:rFonts w:ascii="Arial" w:eastAsia="Times New Roman" w:hAnsi="Arial" w:cs="Arial"/>
        </w:rPr>
        <w:t>successful</w:t>
      </w:r>
      <w:proofErr w:type="spellEnd"/>
      <w:r w:rsidRPr="00223BD0">
        <w:rPr>
          <w:rFonts w:ascii="Arial" w:eastAsia="Times New Roman" w:hAnsi="Arial" w:cs="Arial"/>
        </w:rPr>
        <w:t xml:space="preserve"> reflective use </w:t>
      </w:r>
      <w:proofErr w:type="spellStart"/>
      <w:r w:rsidRPr="00223BD0">
        <w:rPr>
          <w:rFonts w:ascii="Arial" w:eastAsia="Times New Roman" w:hAnsi="Arial" w:cs="Arial"/>
        </w:rPr>
        <w:t>of</w:t>
      </w:r>
      <w:proofErr w:type="spellEnd"/>
      <w:r w:rsidRPr="00223BD0">
        <w:rPr>
          <w:rFonts w:ascii="Arial" w:eastAsia="Times New Roman" w:hAnsi="Arial" w:cs="Arial"/>
        </w:rPr>
        <w:t xml:space="preserve"> portfolios in </w:t>
      </w:r>
      <w:proofErr w:type="spellStart"/>
      <w:r w:rsidRPr="00223BD0">
        <w:rPr>
          <w:rFonts w:ascii="Arial" w:eastAsia="Times New Roman" w:hAnsi="Arial" w:cs="Arial"/>
        </w:rPr>
        <w:t>undergraduate</w:t>
      </w:r>
      <w:proofErr w:type="spellEnd"/>
      <w:r w:rsidRPr="00223BD0">
        <w:rPr>
          <w:rFonts w:ascii="Arial" w:eastAsia="Times New Roman" w:hAnsi="Arial" w:cs="Arial"/>
        </w:rPr>
        <w:t xml:space="preserve"> medical </w:t>
      </w:r>
      <w:proofErr w:type="spellStart"/>
      <w:r w:rsidRPr="00223BD0">
        <w:rPr>
          <w:rFonts w:ascii="Arial" w:eastAsia="Times New Roman" w:hAnsi="Arial" w:cs="Arial"/>
        </w:rPr>
        <w:t>education</w:t>
      </w:r>
      <w:proofErr w:type="spellEnd"/>
      <w:r w:rsidRPr="00223BD0">
        <w:rPr>
          <w:rFonts w:ascii="Arial" w:eastAsia="Times New Roman" w:hAnsi="Arial" w:cs="Arial"/>
        </w:rPr>
        <w:t xml:space="preserve">. </w:t>
      </w:r>
      <w:r w:rsidRPr="00223BD0">
        <w:rPr>
          <w:rFonts w:ascii="Arial" w:eastAsia="Times New Roman" w:hAnsi="Arial" w:cs="Arial"/>
          <w:i/>
          <w:iCs/>
        </w:rPr>
        <w:t xml:space="preserve">Medical </w:t>
      </w:r>
      <w:proofErr w:type="spellStart"/>
      <w:r w:rsidRPr="00223BD0">
        <w:rPr>
          <w:rFonts w:ascii="Arial" w:eastAsia="Times New Roman" w:hAnsi="Arial" w:cs="Arial"/>
          <w:i/>
          <w:iCs/>
        </w:rPr>
        <w:t>Education</w:t>
      </w:r>
      <w:proofErr w:type="spellEnd"/>
      <w:r w:rsidRPr="00223BD0">
        <w:rPr>
          <w:rFonts w:ascii="Arial" w:eastAsia="Times New Roman" w:hAnsi="Arial" w:cs="Arial"/>
        </w:rPr>
        <w:t>, 41(12), 1230–1235.</w:t>
      </w:r>
    </w:p>
    <w:p w14:paraId="16DAEE7F" w14:textId="77777777" w:rsidR="00223BD0" w:rsidRDefault="00223BD0" w:rsidP="00223BD0">
      <w:pPr>
        <w:pStyle w:val="Prrafodelista"/>
        <w:numPr>
          <w:ilvl w:val="0"/>
          <w:numId w:val="30"/>
        </w:numPr>
        <w:spacing w:after="0"/>
        <w:ind w:left="142" w:hanging="142"/>
        <w:rPr>
          <w:rFonts w:ascii="Arial" w:eastAsia="Times New Roman" w:hAnsi="Arial" w:cs="Arial"/>
        </w:rPr>
      </w:pPr>
      <w:proofErr w:type="spellStart"/>
      <w:r w:rsidRPr="00223BD0">
        <w:rPr>
          <w:rFonts w:ascii="Arial" w:eastAsia="Times New Roman" w:hAnsi="Arial" w:cs="Arial"/>
        </w:rPr>
        <w:t>Hodges</w:t>
      </w:r>
      <w:proofErr w:type="spellEnd"/>
      <w:r w:rsidRPr="00223BD0">
        <w:rPr>
          <w:rFonts w:ascii="Arial" w:eastAsia="Times New Roman" w:hAnsi="Arial" w:cs="Arial"/>
        </w:rPr>
        <w:t xml:space="preserve">, B. D. (2006). Medical </w:t>
      </w:r>
      <w:proofErr w:type="spellStart"/>
      <w:r w:rsidRPr="00223BD0">
        <w:rPr>
          <w:rFonts w:ascii="Arial" w:eastAsia="Times New Roman" w:hAnsi="Arial" w:cs="Arial"/>
        </w:rPr>
        <w:t>education</w:t>
      </w:r>
      <w:proofErr w:type="spellEnd"/>
      <w:r w:rsidRPr="00223BD0">
        <w:rPr>
          <w:rFonts w:ascii="Arial" w:eastAsia="Times New Roman" w:hAnsi="Arial" w:cs="Arial"/>
        </w:rPr>
        <w:t xml:space="preserve"> and </w:t>
      </w:r>
      <w:proofErr w:type="spellStart"/>
      <w:r w:rsidRPr="00223BD0">
        <w:rPr>
          <w:rFonts w:ascii="Arial" w:eastAsia="Times New Roman" w:hAnsi="Arial" w:cs="Arial"/>
        </w:rPr>
        <w:t>the</w:t>
      </w:r>
      <w:proofErr w:type="spellEnd"/>
      <w:r w:rsidRPr="00223BD0">
        <w:rPr>
          <w:rFonts w:ascii="Arial" w:eastAsia="Times New Roman" w:hAnsi="Arial" w:cs="Arial"/>
        </w:rPr>
        <w:t xml:space="preserve"> </w:t>
      </w:r>
      <w:proofErr w:type="spellStart"/>
      <w:r w:rsidRPr="00223BD0">
        <w:rPr>
          <w:rFonts w:ascii="Arial" w:eastAsia="Times New Roman" w:hAnsi="Arial" w:cs="Arial"/>
        </w:rPr>
        <w:t>maintenance</w:t>
      </w:r>
      <w:proofErr w:type="spellEnd"/>
      <w:r w:rsidRPr="00223BD0">
        <w:rPr>
          <w:rFonts w:ascii="Arial" w:eastAsia="Times New Roman" w:hAnsi="Arial" w:cs="Arial"/>
        </w:rPr>
        <w:t xml:space="preserve"> </w:t>
      </w:r>
      <w:proofErr w:type="spellStart"/>
      <w:r w:rsidRPr="00223BD0">
        <w:rPr>
          <w:rFonts w:ascii="Arial" w:eastAsia="Times New Roman" w:hAnsi="Arial" w:cs="Arial"/>
        </w:rPr>
        <w:t>of</w:t>
      </w:r>
      <w:proofErr w:type="spellEnd"/>
      <w:r w:rsidRPr="00223BD0">
        <w:rPr>
          <w:rFonts w:ascii="Arial" w:eastAsia="Times New Roman" w:hAnsi="Arial" w:cs="Arial"/>
        </w:rPr>
        <w:t xml:space="preserve"> </w:t>
      </w:r>
      <w:proofErr w:type="spellStart"/>
      <w:r w:rsidRPr="00223BD0">
        <w:rPr>
          <w:rFonts w:ascii="Arial" w:eastAsia="Times New Roman" w:hAnsi="Arial" w:cs="Arial"/>
        </w:rPr>
        <w:t>incompetence</w:t>
      </w:r>
      <w:proofErr w:type="spellEnd"/>
      <w:r w:rsidRPr="00223BD0">
        <w:rPr>
          <w:rFonts w:ascii="Arial" w:eastAsia="Times New Roman" w:hAnsi="Arial" w:cs="Arial"/>
        </w:rPr>
        <w:t xml:space="preserve">. </w:t>
      </w:r>
      <w:r w:rsidRPr="00223BD0">
        <w:rPr>
          <w:rFonts w:ascii="Arial" w:eastAsia="Times New Roman" w:hAnsi="Arial" w:cs="Arial"/>
          <w:i/>
          <w:iCs/>
        </w:rPr>
        <w:t xml:space="preserve">Medical </w:t>
      </w:r>
      <w:proofErr w:type="spellStart"/>
      <w:r w:rsidRPr="00223BD0">
        <w:rPr>
          <w:rFonts w:ascii="Arial" w:eastAsia="Times New Roman" w:hAnsi="Arial" w:cs="Arial"/>
          <w:i/>
          <w:iCs/>
        </w:rPr>
        <w:t>Teacher</w:t>
      </w:r>
      <w:proofErr w:type="spellEnd"/>
      <w:r w:rsidRPr="00223BD0">
        <w:rPr>
          <w:rFonts w:ascii="Arial" w:eastAsia="Times New Roman" w:hAnsi="Arial" w:cs="Arial"/>
        </w:rPr>
        <w:t>, 28(8), 690–696.</w:t>
      </w:r>
    </w:p>
    <w:p w14:paraId="7976D77D" w14:textId="77777777" w:rsidR="00223BD0" w:rsidRDefault="00223BD0" w:rsidP="00223BD0">
      <w:pPr>
        <w:pStyle w:val="Prrafodelista"/>
        <w:numPr>
          <w:ilvl w:val="0"/>
          <w:numId w:val="30"/>
        </w:numPr>
        <w:spacing w:after="0"/>
        <w:ind w:left="142" w:hanging="142"/>
        <w:rPr>
          <w:rFonts w:ascii="Arial" w:eastAsia="Times New Roman" w:hAnsi="Arial" w:cs="Arial"/>
        </w:rPr>
      </w:pPr>
      <w:r w:rsidRPr="00223BD0">
        <w:rPr>
          <w:rFonts w:ascii="Arial" w:eastAsia="Times New Roman" w:hAnsi="Arial" w:cs="Arial"/>
        </w:rPr>
        <w:t xml:space="preserve">Jasper, M. (2003). </w:t>
      </w:r>
      <w:proofErr w:type="spellStart"/>
      <w:r w:rsidRPr="00223BD0">
        <w:rPr>
          <w:rFonts w:ascii="Arial" w:eastAsia="Times New Roman" w:hAnsi="Arial" w:cs="Arial"/>
          <w:i/>
          <w:iCs/>
        </w:rPr>
        <w:t>Beginning</w:t>
      </w:r>
      <w:proofErr w:type="spellEnd"/>
      <w:r w:rsidRPr="00223BD0">
        <w:rPr>
          <w:rFonts w:ascii="Arial" w:eastAsia="Times New Roman" w:hAnsi="Arial" w:cs="Arial"/>
          <w:i/>
          <w:iCs/>
        </w:rPr>
        <w:t xml:space="preserve"> Reflective </w:t>
      </w:r>
      <w:proofErr w:type="spellStart"/>
      <w:r w:rsidRPr="00223BD0">
        <w:rPr>
          <w:rFonts w:ascii="Arial" w:eastAsia="Times New Roman" w:hAnsi="Arial" w:cs="Arial"/>
          <w:i/>
          <w:iCs/>
        </w:rPr>
        <w:t>Practice</w:t>
      </w:r>
      <w:proofErr w:type="spellEnd"/>
      <w:r w:rsidRPr="00223BD0">
        <w:rPr>
          <w:rFonts w:ascii="Arial" w:eastAsia="Times New Roman" w:hAnsi="Arial" w:cs="Arial"/>
        </w:rPr>
        <w:t xml:space="preserve">. Nelson </w:t>
      </w:r>
      <w:proofErr w:type="spellStart"/>
      <w:r w:rsidRPr="00223BD0">
        <w:rPr>
          <w:rFonts w:ascii="Arial" w:eastAsia="Times New Roman" w:hAnsi="Arial" w:cs="Arial"/>
        </w:rPr>
        <w:t>Thornes</w:t>
      </w:r>
      <w:proofErr w:type="spellEnd"/>
      <w:r w:rsidRPr="00223BD0">
        <w:rPr>
          <w:rFonts w:ascii="Arial" w:eastAsia="Times New Roman" w:hAnsi="Arial" w:cs="Arial"/>
        </w:rPr>
        <w:t>.</w:t>
      </w:r>
    </w:p>
    <w:p w14:paraId="5187F48E" w14:textId="77777777" w:rsidR="00223BD0" w:rsidRDefault="00223BD0" w:rsidP="00223BD0">
      <w:pPr>
        <w:pStyle w:val="Prrafodelista"/>
        <w:numPr>
          <w:ilvl w:val="0"/>
          <w:numId w:val="30"/>
        </w:numPr>
        <w:spacing w:after="0"/>
        <w:ind w:left="142" w:hanging="142"/>
        <w:rPr>
          <w:rFonts w:ascii="Arial" w:eastAsia="Times New Roman" w:hAnsi="Arial" w:cs="Arial"/>
        </w:rPr>
      </w:pPr>
      <w:r w:rsidRPr="00223BD0">
        <w:rPr>
          <w:rFonts w:ascii="Arial" w:eastAsia="Times New Roman" w:hAnsi="Arial" w:cs="Arial"/>
        </w:rPr>
        <w:t xml:space="preserve">Kolb, D. A. (1984). </w:t>
      </w:r>
      <w:proofErr w:type="spellStart"/>
      <w:r w:rsidRPr="00223BD0">
        <w:rPr>
          <w:rFonts w:ascii="Arial" w:eastAsia="Times New Roman" w:hAnsi="Arial" w:cs="Arial"/>
          <w:i/>
          <w:iCs/>
        </w:rPr>
        <w:t>Experiential</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Learning</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Experience</w:t>
      </w:r>
      <w:proofErr w:type="spellEnd"/>
      <w:r w:rsidRPr="00223BD0">
        <w:rPr>
          <w:rFonts w:ascii="Arial" w:eastAsia="Times New Roman" w:hAnsi="Arial" w:cs="Arial"/>
          <w:i/>
          <w:iCs/>
        </w:rPr>
        <w:t xml:space="preserve"> as </w:t>
      </w:r>
      <w:proofErr w:type="spellStart"/>
      <w:r w:rsidRPr="00223BD0">
        <w:rPr>
          <w:rFonts w:ascii="Arial" w:eastAsia="Times New Roman" w:hAnsi="Arial" w:cs="Arial"/>
          <w:i/>
          <w:iCs/>
        </w:rPr>
        <w:t>the</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Source</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of</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Learning</w:t>
      </w:r>
      <w:proofErr w:type="spellEnd"/>
      <w:r w:rsidRPr="00223BD0">
        <w:rPr>
          <w:rFonts w:ascii="Arial" w:eastAsia="Times New Roman" w:hAnsi="Arial" w:cs="Arial"/>
          <w:i/>
          <w:iCs/>
        </w:rPr>
        <w:t xml:space="preserve"> and </w:t>
      </w:r>
      <w:proofErr w:type="spellStart"/>
      <w:r w:rsidRPr="00223BD0">
        <w:rPr>
          <w:rFonts w:ascii="Arial" w:eastAsia="Times New Roman" w:hAnsi="Arial" w:cs="Arial"/>
          <w:i/>
          <w:iCs/>
        </w:rPr>
        <w:t>Development</w:t>
      </w:r>
      <w:proofErr w:type="spellEnd"/>
      <w:r w:rsidRPr="00223BD0">
        <w:rPr>
          <w:rFonts w:ascii="Arial" w:eastAsia="Times New Roman" w:hAnsi="Arial" w:cs="Arial"/>
        </w:rPr>
        <w:t>. Prentice Hall.</w:t>
      </w:r>
    </w:p>
    <w:p w14:paraId="2DF967D0" w14:textId="77777777" w:rsidR="00223BD0" w:rsidRDefault="00223BD0" w:rsidP="00223BD0">
      <w:pPr>
        <w:pStyle w:val="Prrafodelista"/>
        <w:numPr>
          <w:ilvl w:val="0"/>
          <w:numId w:val="30"/>
        </w:numPr>
        <w:spacing w:after="0"/>
        <w:ind w:left="142" w:hanging="142"/>
        <w:rPr>
          <w:rFonts w:ascii="Arial" w:eastAsia="Times New Roman" w:hAnsi="Arial" w:cs="Arial"/>
        </w:rPr>
      </w:pPr>
      <w:r w:rsidRPr="00223BD0">
        <w:rPr>
          <w:rFonts w:ascii="Arial" w:eastAsia="Times New Roman" w:hAnsi="Arial" w:cs="Arial"/>
        </w:rPr>
        <w:t xml:space="preserve">Shulman, L. S. (2005). </w:t>
      </w:r>
      <w:proofErr w:type="spellStart"/>
      <w:r w:rsidRPr="00223BD0">
        <w:rPr>
          <w:rFonts w:ascii="Arial" w:eastAsia="Times New Roman" w:hAnsi="Arial" w:cs="Arial"/>
        </w:rPr>
        <w:t>Signature</w:t>
      </w:r>
      <w:proofErr w:type="spellEnd"/>
      <w:r w:rsidRPr="00223BD0">
        <w:rPr>
          <w:rFonts w:ascii="Arial" w:eastAsia="Times New Roman" w:hAnsi="Arial" w:cs="Arial"/>
        </w:rPr>
        <w:t xml:space="preserve"> </w:t>
      </w:r>
      <w:proofErr w:type="spellStart"/>
      <w:r w:rsidRPr="00223BD0">
        <w:rPr>
          <w:rFonts w:ascii="Arial" w:eastAsia="Times New Roman" w:hAnsi="Arial" w:cs="Arial"/>
        </w:rPr>
        <w:t>pedagogies</w:t>
      </w:r>
      <w:proofErr w:type="spellEnd"/>
      <w:r w:rsidRPr="00223BD0">
        <w:rPr>
          <w:rFonts w:ascii="Arial" w:eastAsia="Times New Roman" w:hAnsi="Arial" w:cs="Arial"/>
        </w:rPr>
        <w:t xml:space="preserve"> in </w:t>
      </w:r>
      <w:proofErr w:type="spellStart"/>
      <w:r w:rsidRPr="00223BD0">
        <w:rPr>
          <w:rFonts w:ascii="Arial" w:eastAsia="Times New Roman" w:hAnsi="Arial" w:cs="Arial"/>
        </w:rPr>
        <w:t>the</w:t>
      </w:r>
      <w:proofErr w:type="spellEnd"/>
      <w:r w:rsidRPr="00223BD0">
        <w:rPr>
          <w:rFonts w:ascii="Arial" w:eastAsia="Times New Roman" w:hAnsi="Arial" w:cs="Arial"/>
        </w:rPr>
        <w:t xml:space="preserve"> </w:t>
      </w:r>
      <w:proofErr w:type="spellStart"/>
      <w:r w:rsidRPr="00223BD0">
        <w:rPr>
          <w:rFonts w:ascii="Arial" w:eastAsia="Times New Roman" w:hAnsi="Arial" w:cs="Arial"/>
        </w:rPr>
        <w:t>professions</w:t>
      </w:r>
      <w:proofErr w:type="spellEnd"/>
      <w:r w:rsidRPr="00223BD0">
        <w:rPr>
          <w:rFonts w:ascii="Arial" w:eastAsia="Times New Roman" w:hAnsi="Arial" w:cs="Arial"/>
        </w:rPr>
        <w:t xml:space="preserve">. </w:t>
      </w:r>
      <w:proofErr w:type="spellStart"/>
      <w:r w:rsidRPr="00223BD0">
        <w:rPr>
          <w:rFonts w:ascii="Arial" w:eastAsia="Times New Roman" w:hAnsi="Arial" w:cs="Arial"/>
          <w:i/>
          <w:iCs/>
        </w:rPr>
        <w:t>Daedalus</w:t>
      </w:r>
      <w:proofErr w:type="spellEnd"/>
      <w:r w:rsidRPr="00223BD0">
        <w:rPr>
          <w:rFonts w:ascii="Arial" w:eastAsia="Times New Roman" w:hAnsi="Arial" w:cs="Arial"/>
        </w:rPr>
        <w:t>, 134(3), 52–59.</w:t>
      </w:r>
    </w:p>
    <w:p w14:paraId="290CAA4B" w14:textId="77777777" w:rsidR="00223BD0" w:rsidRDefault="00223BD0" w:rsidP="00223BD0">
      <w:pPr>
        <w:pStyle w:val="Prrafodelista"/>
        <w:numPr>
          <w:ilvl w:val="0"/>
          <w:numId w:val="30"/>
        </w:numPr>
        <w:spacing w:after="0"/>
        <w:ind w:left="142" w:hanging="142"/>
        <w:rPr>
          <w:rFonts w:ascii="Arial" w:eastAsia="Times New Roman" w:hAnsi="Arial" w:cs="Arial"/>
        </w:rPr>
      </w:pPr>
      <w:proofErr w:type="spellStart"/>
      <w:r w:rsidRPr="00223BD0">
        <w:rPr>
          <w:rFonts w:ascii="Arial" w:eastAsia="Times New Roman" w:hAnsi="Arial" w:cs="Arial"/>
        </w:rPr>
        <w:t>Tochel</w:t>
      </w:r>
      <w:proofErr w:type="spellEnd"/>
      <w:r w:rsidRPr="00223BD0">
        <w:rPr>
          <w:rFonts w:ascii="Arial" w:eastAsia="Times New Roman" w:hAnsi="Arial" w:cs="Arial"/>
        </w:rPr>
        <w:t xml:space="preserve">, C., </w:t>
      </w:r>
      <w:proofErr w:type="spellStart"/>
      <w:r w:rsidRPr="00223BD0">
        <w:rPr>
          <w:rFonts w:ascii="Arial" w:eastAsia="Times New Roman" w:hAnsi="Arial" w:cs="Arial"/>
        </w:rPr>
        <w:t>Haig</w:t>
      </w:r>
      <w:proofErr w:type="spellEnd"/>
      <w:r w:rsidRPr="00223BD0">
        <w:rPr>
          <w:rFonts w:ascii="Arial" w:eastAsia="Times New Roman" w:hAnsi="Arial" w:cs="Arial"/>
        </w:rPr>
        <w:t xml:space="preserve">, A., </w:t>
      </w:r>
      <w:proofErr w:type="spellStart"/>
      <w:r w:rsidRPr="00223BD0">
        <w:rPr>
          <w:rFonts w:ascii="Arial" w:eastAsia="Times New Roman" w:hAnsi="Arial" w:cs="Arial"/>
        </w:rPr>
        <w:t>Hesketh</w:t>
      </w:r>
      <w:proofErr w:type="spellEnd"/>
      <w:r w:rsidRPr="00223BD0">
        <w:rPr>
          <w:rFonts w:ascii="Arial" w:eastAsia="Times New Roman" w:hAnsi="Arial" w:cs="Arial"/>
        </w:rPr>
        <w:t xml:space="preserve">, A., et al. (2009). The </w:t>
      </w:r>
      <w:proofErr w:type="spellStart"/>
      <w:r w:rsidRPr="00223BD0">
        <w:rPr>
          <w:rFonts w:ascii="Arial" w:eastAsia="Times New Roman" w:hAnsi="Arial" w:cs="Arial"/>
        </w:rPr>
        <w:t>effectiveness</w:t>
      </w:r>
      <w:proofErr w:type="spellEnd"/>
      <w:r w:rsidRPr="00223BD0">
        <w:rPr>
          <w:rFonts w:ascii="Arial" w:eastAsia="Times New Roman" w:hAnsi="Arial" w:cs="Arial"/>
        </w:rPr>
        <w:t xml:space="preserve"> </w:t>
      </w:r>
      <w:proofErr w:type="spellStart"/>
      <w:r w:rsidRPr="00223BD0">
        <w:rPr>
          <w:rFonts w:ascii="Arial" w:eastAsia="Times New Roman" w:hAnsi="Arial" w:cs="Arial"/>
        </w:rPr>
        <w:t>of</w:t>
      </w:r>
      <w:proofErr w:type="spellEnd"/>
      <w:r w:rsidRPr="00223BD0">
        <w:rPr>
          <w:rFonts w:ascii="Arial" w:eastAsia="Times New Roman" w:hAnsi="Arial" w:cs="Arial"/>
        </w:rPr>
        <w:t xml:space="preserve"> portfolios </w:t>
      </w:r>
      <w:proofErr w:type="spellStart"/>
      <w:r w:rsidRPr="00223BD0">
        <w:rPr>
          <w:rFonts w:ascii="Arial" w:eastAsia="Times New Roman" w:hAnsi="Arial" w:cs="Arial"/>
        </w:rPr>
        <w:t>for</w:t>
      </w:r>
      <w:proofErr w:type="spellEnd"/>
      <w:r w:rsidRPr="00223BD0">
        <w:rPr>
          <w:rFonts w:ascii="Arial" w:eastAsia="Times New Roman" w:hAnsi="Arial" w:cs="Arial"/>
        </w:rPr>
        <w:t xml:space="preserve"> </w:t>
      </w:r>
      <w:proofErr w:type="spellStart"/>
      <w:r w:rsidRPr="00223BD0">
        <w:rPr>
          <w:rFonts w:ascii="Arial" w:eastAsia="Times New Roman" w:hAnsi="Arial" w:cs="Arial"/>
        </w:rPr>
        <w:t>post-graduate</w:t>
      </w:r>
      <w:proofErr w:type="spellEnd"/>
      <w:r w:rsidRPr="00223BD0">
        <w:rPr>
          <w:rFonts w:ascii="Arial" w:eastAsia="Times New Roman" w:hAnsi="Arial" w:cs="Arial"/>
        </w:rPr>
        <w:t xml:space="preserve"> </w:t>
      </w:r>
      <w:proofErr w:type="spellStart"/>
      <w:r w:rsidRPr="00223BD0">
        <w:rPr>
          <w:rFonts w:ascii="Arial" w:eastAsia="Times New Roman" w:hAnsi="Arial" w:cs="Arial"/>
        </w:rPr>
        <w:t>assessment</w:t>
      </w:r>
      <w:proofErr w:type="spellEnd"/>
      <w:r w:rsidRPr="00223BD0">
        <w:rPr>
          <w:rFonts w:ascii="Arial" w:eastAsia="Times New Roman" w:hAnsi="Arial" w:cs="Arial"/>
        </w:rPr>
        <w:t xml:space="preserve"> and </w:t>
      </w:r>
      <w:proofErr w:type="spellStart"/>
      <w:r w:rsidRPr="00223BD0">
        <w:rPr>
          <w:rFonts w:ascii="Arial" w:eastAsia="Times New Roman" w:hAnsi="Arial" w:cs="Arial"/>
        </w:rPr>
        <w:t>education</w:t>
      </w:r>
      <w:proofErr w:type="spellEnd"/>
      <w:r w:rsidRPr="00223BD0">
        <w:rPr>
          <w:rFonts w:ascii="Arial" w:eastAsia="Times New Roman" w:hAnsi="Arial" w:cs="Arial"/>
        </w:rPr>
        <w:t xml:space="preserve">: BEME Guide No 12. </w:t>
      </w:r>
      <w:r w:rsidRPr="00223BD0">
        <w:rPr>
          <w:rFonts w:ascii="Arial" w:eastAsia="Times New Roman" w:hAnsi="Arial" w:cs="Arial"/>
          <w:i/>
          <w:iCs/>
        </w:rPr>
        <w:t xml:space="preserve">Medical </w:t>
      </w:r>
      <w:proofErr w:type="spellStart"/>
      <w:r w:rsidRPr="00223BD0">
        <w:rPr>
          <w:rFonts w:ascii="Arial" w:eastAsia="Times New Roman" w:hAnsi="Arial" w:cs="Arial"/>
          <w:i/>
          <w:iCs/>
        </w:rPr>
        <w:t>Teacher</w:t>
      </w:r>
      <w:proofErr w:type="spellEnd"/>
      <w:r w:rsidRPr="00223BD0">
        <w:rPr>
          <w:rFonts w:ascii="Arial" w:eastAsia="Times New Roman" w:hAnsi="Arial" w:cs="Arial"/>
        </w:rPr>
        <w:t>, 31(4), 299–318.</w:t>
      </w:r>
    </w:p>
    <w:p w14:paraId="585657E9" w14:textId="77777777" w:rsidR="00223BD0" w:rsidRDefault="00223BD0" w:rsidP="00223BD0">
      <w:pPr>
        <w:pStyle w:val="Prrafodelista"/>
        <w:numPr>
          <w:ilvl w:val="0"/>
          <w:numId w:val="30"/>
        </w:numPr>
        <w:spacing w:after="0"/>
        <w:ind w:left="142" w:hanging="142"/>
        <w:rPr>
          <w:rFonts w:ascii="Arial" w:eastAsia="Times New Roman" w:hAnsi="Arial" w:cs="Arial"/>
        </w:rPr>
      </w:pPr>
      <w:r w:rsidRPr="00223BD0">
        <w:rPr>
          <w:rFonts w:ascii="Arial" w:eastAsia="Times New Roman" w:hAnsi="Arial" w:cs="Arial"/>
        </w:rPr>
        <w:t xml:space="preserve">Vygotsky, L. S. (1979). </w:t>
      </w:r>
      <w:r w:rsidRPr="00223BD0">
        <w:rPr>
          <w:rFonts w:ascii="Arial" w:eastAsia="Times New Roman" w:hAnsi="Arial" w:cs="Arial"/>
          <w:i/>
          <w:iCs/>
        </w:rPr>
        <w:t>El desarrollo de los procesos psicológicos superiores</w:t>
      </w:r>
      <w:r w:rsidRPr="00223BD0">
        <w:rPr>
          <w:rFonts w:ascii="Arial" w:eastAsia="Times New Roman" w:hAnsi="Arial" w:cs="Arial"/>
        </w:rPr>
        <w:t>. Crítica.</w:t>
      </w:r>
    </w:p>
    <w:p w14:paraId="1F99024D" w14:textId="7099D391" w:rsidR="00223BD0" w:rsidRPr="00223BD0" w:rsidRDefault="00223BD0" w:rsidP="00223BD0">
      <w:pPr>
        <w:pStyle w:val="Prrafodelista"/>
        <w:numPr>
          <w:ilvl w:val="0"/>
          <w:numId w:val="30"/>
        </w:numPr>
        <w:spacing w:after="0"/>
        <w:ind w:left="142" w:hanging="142"/>
        <w:rPr>
          <w:rFonts w:ascii="Arial" w:eastAsia="Times New Roman" w:hAnsi="Arial" w:cs="Arial"/>
        </w:rPr>
      </w:pPr>
      <w:r w:rsidRPr="00223BD0">
        <w:rPr>
          <w:rFonts w:ascii="Arial" w:eastAsia="Times New Roman" w:hAnsi="Arial" w:cs="Arial"/>
        </w:rPr>
        <w:t xml:space="preserve">Zimmerman, B. J. (2002). </w:t>
      </w:r>
      <w:proofErr w:type="spellStart"/>
      <w:r w:rsidRPr="00223BD0">
        <w:rPr>
          <w:rFonts w:ascii="Arial" w:eastAsia="Times New Roman" w:hAnsi="Arial" w:cs="Arial"/>
        </w:rPr>
        <w:t>Becoming</w:t>
      </w:r>
      <w:proofErr w:type="spellEnd"/>
      <w:r w:rsidRPr="00223BD0">
        <w:rPr>
          <w:rFonts w:ascii="Arial" w:eastAsia="Times New Roman" w:hAnsi="Arial" w:cs="Arial"/>
        </w:rPr>
        <w:t xml:space="preserve"> a </w:t>
      </w:r>
      <w:proofErr w:type="spellStart"/>
      <w:r w:rsidRPr="00223BD0">
        <w:rPr>
          <w:rFonts w:ascii="Arial" w:eastAsia="Times New Roman" w:hAnsi="Arial" w:cs="Arial"/>
        </w:rPr>
        <w:t>Self-Regulated</w:t>
      </w:r>
      <w:proofErr w:type="spellEnd"/>
      <w:r w:rsidRPr="00223BD0">
        <w:rPr>
          <w:rFonts w:ascii="Arial" w:eastAsia="Times New Roman" w:hAnsi="Arial" w:cs="Arial"/>
        </w:rPr>
        <w:t xml:space="preserve"> </w:t>
      </w:r>
      <w:proofErr w:type="spellStart"/>
      <w:r w:rsidRPr="00223BD0">
        <w:rPr>
          <w:rFonts w:ascii="Arial" w:eastAsia="Times New Roman" w:hAnsi="Arial" w:cs="Arial"/>
        </w:rPr>
        <w:t>Learner</w:t>
      </w:r>
      <w:proofErr w:type="spellEnd"/>
      <w:r w:rsidRPr="00223BD0">
        <w:rPr>
          <w:rFonts w:ascii="Arial" w:eastAsia="Times New Roman" w:hAnsi="Arial" w:cs="Arial"/>
        </w:rPr>
        <w:t xml:space="preserve">: </w:t>
      </w:r>
      <w:proofErr w:type="spellStart"/>
      <w:r w:rsidRPr="00223BD0">
        <w:rPr>
          <w:rFonts w:ascii="Arial" w:eastAsia="Times New Roman" w:hAnsi="Arial" w:cs="Arial"/>
        </w:rPr>
        <w:t>An</w:t>
      </w:r>
      <w:proofErr w:type="spellEnd"/>
      <w:r w:rsidRPr="00223BD0">
        <w:rPr>
          <w:rFonts w:ascii="Arial" w:eastAsia="Times New Roman" w:hAnsi="Arial" w:cs="Arial"/>
        </w:rPr>
        <w:t xml:space="preserve"> </w:t>
      </w:r>
      <w:proofErr w:type="spellStart"/>
      <w:r w:rsidRPr="00223BD0">
        <w:rPr>
          <w:rFonts w:ascii="Arial" w:eastAsia="Times New Roman" w:hAnsi="Arial" w:cs="Arial"/>
        </w:rPr>
        <w:t>Overview</w:t>
      </w:r>
      <w:proofErr w:type="spellEnd"/>
      <w:r w:rsidRPr="00223BD0">
        <w:rPr>
          <w:rFonts w:ascii="Arial" w:eastAsia="Times New Roman" w:hAnsi="Arial" w:cs="Arial"/>
        </w:rPr>
        <w:t xml:space="preserve">. </w:t>
      </w:r>
      <w:proofErr w:type="spellStart"/>
      <w:r w:rsidRPr="00223BD0">
        <w:rPr>
          <w:rFonts w:ascii="Arial" w:eastAsia="Times New Roman" w:hAnsi="Arial" w:cs="Arial"/>
          <w:i/>
          <w:iCs/>
        </w:rPr>
        <w:t>Theory</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into</w:t>
      </w:r>
      <w:proofErr w:type="spellEnd"/>
      <w:r w:rsidRPr="00223BD0">
        <w:rPr>
          <w:rFonts w:ascii="Arial" w:eastAsia="Times New Roman" w:hAnsi="Arial" w:cs="Arial"/>
          <w:i/>
          <w:iCs/>
        </w:rPr>
        <w:t xml:space="preserve"> </w:t>
      </w:r>
      <w:proofErr w:type="spellStart"/>
      <w:r w:rsidRPr="00223BD0">
        <w:rPr>
          <w:rFonts w:ascii="Arial" w:eastAsia="Times New Roman" w:hAnsi="Arial" w:cs="Arial"/>
          <w:i/>
          <w:iCs/>
        </w:rPr>
        <w:t>Practice</w:t>
      </w:r>
      <w:proofErr w:type="spellEnd"/>
      <w:r w:rsidRPr="00223BD0">
        <w:rPr>
          <w:rFonts w:ascii="Arial" w:eastAsia="Times New Roman" w:hAnsi="Arial" w:cs="Arial"/>
        </w:rPr>
        <w:t>, 41(2), 64–70.</w:t>
      </w:r>
    </w:p>
    <w:p w14:paraId="4BFA06E2" w14:textId="77777777" w:rsidR="00223BD0" w:rsidRPr="00063A58" w:rsidRDefault="00223BD0" w:rsidP="00223BD0">
      <w:pPr>
        <w:spacing w:after="0"/>
        <w:rPr>
          <w:rFonts w:ascii="Arial" w:eastAsia="Times New Roman" w:hAnsi="Arial" w:cs="Arial"/>
        </w:rPr>
      </w:pPr>
    </w:p>
    <w:p w14:paraId="1189793E" w14:textId="78563E17" w:rsidR="00B94F1A" w:rsidRPr="00B94F1A" w:rsidRDefault="00B94F1A" w:rsidP="00223BD0">
      <w:pPr>
        <w:pStyle w:val="bibliografia"/>
        <w:rPr>
          <w:rFonts w:eastAsia="Arial"/>
        </w:rPr>
      </w:pPr>
    </w:p>
    <w:sectPr w:rsidR="00B94F1A" w:rsidRPr="00B94F1A">
      <w:headerReference w:type="even" r:id="rId9"/>
      <w:headerReference w:type="default" r:id="rId10"/>
      <w:footerReference w:type="even" r:id="rId11"/>
      <w:footerReference w:type="default" r:id="rId12"/>
      <w:headerReference w:type="first" r:id="rId13"/>
      <w:footerReference w:type="first" r:id="rId14"/>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A5045" w14:textId="77777777" w:rsidR="00CB5BCE" w:rsidRDefault="00CB5BCE">
      <w:pPr>
        <w:spacing w:after="0"/>
      </w:pPr>
      <w:r>
        <w:separator/>
      </w:r>
    </w:p>
  </w:endnote>
  <w:endnote w:type="continuationSeparator" w:id="0">
    <w:p w14:paraId="6E6AD7E8" w14:textId="77777777" w:rsidR="00CB5BCE" w:rsidRDefault="00CB5B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E978D"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230C3"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00D50B25" wp14:editId="08194976">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1C36A"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6E3E8" w14:textId="77777777" w:rsidR="00CB5BCE" w:rsidRDefault="00CB5BCE">
      <w:pPr>
        <w:spacing w:after="0"/>
      </w:pPr>
      <w:r>
        <w:separator/>
      </w:r>
    </w:p>
  </w:footnote>
  <w:footnote w:type="continuationSeparator" w:id="0">
    <w:p w14:paraId="23FF4BC7" w14:textId="77777777" w:rsidR="00CB5BCE" w:rsidRDefault="00CB5B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D6BA1"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9B8BC"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66B41DDA" wp14:editId="26EA2D35">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2FFAD"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8270FEB"/>
    <w:multiLevelType w:val="hybridMultilevel"/>
    <w:tmpl w:val="A120AF7C"/>
    <w:lvl w:ilvl="0" w:tplc="A9AA59FE">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5E385C47"/>
    <w:multiLevelType w:val="hybridMultilevel"/>
    <w:tmpl w:val="D1403E9C"/>
    <w:lvl w:ilvl="0" w:tplc="A9AA59FE">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0"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312296210">
    <w:abstractNumId w:val="6"/>
  </w:num>
  <w:num w:numId="2" w16cid:durableId="2034453867">
    <w:abstractNumId w:val="13"/>
  </w:num>
  <w:num w:numId="3" w16cid:durableId="1428043740">
    <w:abstractNumId w:val="11"/>
  </w:num>
  <w:num w:numId="4" w16cid:durableId="1952738130">
    <w:abstractNumId w:val="3"/>
  </w:num>
  <w:num w:numId="5" w16cid:durableId="1376272660">
    <w:abstractNumId w:val="22"/>
  </w:num>
  <w:num w:numId="6" w16cid:durableId="490827431">
    <w:abstractNumId w:val="7"/>
  </w:num>
  <w:num w:numId="7" w16cid:durableId="919560914">
    <w:abstractNumId w:val="28"/>
  </w:num>
  <w:num w:numId="8" w16cid:durableId="339477341">
    <w:abstractNumId w:val="29"/>
  </w:num>
  <w:num w:numId="9" w16cid:durableId="1753045349">
    <w:abstractNumId w:val="9"/>
  </w:num>
  <w:num w:numId="10" w16cid:durableId="1866016289">
    <w:abstractNumId w:val="20"/>
  </w:num>
  <w:num w:numId="11" w16cid:durableId="1357463286">
    <w:abstractNumId w:val="26"/>
  </w:num>
  <w:num w:numId="12" w16cid:durableId="918103798">
    <w:abstractNumId w:val="25"/>
    <w:lvlOverride w:ilvl="0">
      <w:lvl w:ilvl="0">
        <w:numFmt w:val="lowerLetter"/>
        <w:lvlText w:val="%1."/>
        <w:lvlJc w:val="left"/>
      </w:lvl>
    </w:lvlOverride>
  </w:num>
  <w:num w:numId="13" w16cid:durableId="1881091475">
    <w:abstractNumId w:val="12"/>
  </w:num>
  <w:num w:numId="14" w16cid:durableId="552886022">
    <w:abstractNumId w:val="4"/>
  </w:num>
  <w:num w:numId="15" w16cid:durableId="169832703">
    <w:abstractNumId w:val="2"/>
  </w:num>
  <w:num w:numId="16" w16cid:durableId="1620183954">
    <w:abstractNumId w:val="8"/>
  </w:num>
  <w:num w:numId="17" w16cid:durableId="1052851627">
    <w:abstractNumId w:val="21"/>
  </w:num>
  <w:num w:numId="18" w16cid:durableId="1796409045">
    <w:abstractNumId w:val="1"/>
  </w:num>
  <w:num w:numId="19" w16cid:durableId="252082940">
    <w:abstractNumId w:val="23"/>
  </w:num>
  <w:num w:numId="20" w16cid:durableId="511378197">
    <w:abstractNumId w:val="27"/>
  </w:num>
  <w:num w:numId="21" w16cid:durableId="1617827729">
    <w:abstractNumId w:val="24"/>
  </w:num>
  <w:num w:numId="22" w16cid:durableId="786704555">
    <w:abstractNumId w:val="14"/>
  </w:num>
  <w:num w:numId="23" w16cid:durableId="449276102">
    <w:abstractNumId w:val="0"/>
  </w:num>
  <w:num w:numId="24" w16cid:durableId="1939941358">
    <w:abstractNumId w:val="5"/>
  </w:num>
  <w:num w:numId="25" w16cid:durableId="80026775">
    <w:abstractNumId w:val="19"/>
  </w:num>
  <w:num w:numId="26" w16cid:durableId="1589535595">
    <w:abstractNumId w:val="18"/>
  </w:num>
  <w:num w:numId="27" w16cid:durableId="1166088808">
    <w:abstractNumId w:val="10"/>
  </w:num>
  <w:num w:numId="28" w16cid:durableId="3215340">
    <w:abstractNumId w:val="15"/>
  </w:num>
  <w:num w:numId="29" w16cid:durableId="1750037909">
    <w:abstractNumId w:val="17"/>
  </w:num>
  <w:num w:numId="30" w16cid:durableId="16341713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971C7"/>
    <w:rsid w:val="00182BF8"/>
    <w:rsid w:val="001D2396"/>
    <w:rsid w:val="001F3288"/>
    <w:rsid w:val="0021780F"/>
    <w:rsid w:val="00223BD0"/>
    <w:rsid w:val="00272743"/>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467E"/>
    <w:rsid w:val="00617D9B"/>
    <w:rsid w:val="006644D0"/>
    <w:rsid w:val="006760B9"/>
    <w:rsid w:val="006E6267"/>
    <w:rsid w:val="006F02A2"/>
    <w:rsid w:val="00762A1D"/>
    <w:rsid w:val="007E1D56"/>
    <w:rsid w:val="0082684C"/>
    <w:rsid w:val="00842C2D"/>
    <w:rsid w:val="008B5C49"/>
    <w:rsid w:val="008D412A"/>
    <w:rsid w:val="008E43DF"/>
    <w:rsid w:val="00932644"/>
    <w:rsid w:val="00952CFD"/>
    <w:rsid w:val="00953902"/>
    <w:rsid w:val="00965E0E"/>
    <w:rsid w:val="00A02278"/>
    <w:rsid w:val="00A20D6A"/>
    <w:rsid w:val="00A23D6F"/>
    <w:rsid w:val="00A536AA"/>
    <w:rsid w:val="00AC431B"/>
    <w:rsid w:val="00B06DE1"/>
    <w:rsid w:val="00B231BE"/>
    <w:rsid w:val="00B94F1A"/>
    <w:rsid w:val="00BA509D"/>
    <w:rsid w:val="00BE3677"/>
    <w:rsid w:val="00BE5D4B"/>
    <w:rsid w:val="00BF51C6"/>
    <w:rsid w:val="00C357F1"/>
    <w:rsid w:val="00C43A9D"/>
    <w:rsid w:val="00C70F52"/>
    <w:rsid w:val="00CB5BCE"/>
    <w:rsid w:val="00CD25AA"/>
    <w:rsid w:val="00CF0754"/>
    <w:rsid w:val="00D01477"/>
    <w:rsid w:val="00D458F0"/>
    <w:rsid w:val="00D558A6"/>
    <w:rsid w:val="00D741FE"/>
    <w:rsid w:val="00D94C86"/>
    <w:rsid w:val="00DD1775"/>
    <w:rsid w:val="00E502FF"/>
    <w:rsid w:val="00E854E5"/>
    <w:rsid w:val="00E9673F"/>
    <w:rsid w:val="00EA350A"/>
    <w:rsid w:val="00EB2BDE"/>
    <w:rsid w:val="00EC7011"/>
    <w:rsid w:val="00ED0227"/>
    <w:rsid w:val="00F11D56"/>
    <w:rsid w:val="00FA1E7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D680C"/>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Props1.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2604</Words>
  <Characters>14322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pablo diaz</cp:lastModifiedBy>
  <cp:revision>3</cp:revision>
  <dcterms:created xsi:type="dcterms:W3CDTF">2025-07-31T17:18:00Z</dcterms:created>
  <dcterms:modified xsi:type="dcterms:W3CDTF">2025-07-31T17:19:00Z</dcterms:modified>
</cp:coreProperties>
</file>