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3F612" w14:textId="77777777" w:rsidR="009532A5" w:rsidRDefault="009532A5">
      <w:pPr>
        <w:widowControl w:val="0"/>
        <w:pBdr>
          <w:top w:val="nil"/>
          <w:left w:val="nil"/>
          <w:bottom w:val="nil"/>
          <w:right w:val="nil"/>
          <w:between w:val="nil"/>
        </w:pBdr>
        <w:spacing w:after="0" w:line="276" w:lineRule="auto"/>
        <w:rPr>
          <w:rFonts w:ascii="Arial" w:eastAsia="Arial" w:hAnsi="Arial" w:cs="Arial"/>
          <w:color w:val="000000"/>
        </w:rPr>
      </w:pPr>
    </w:p>
    <w:tbl>
      <w:tblPr>
        <w:tblStyle w:val="a1"/>
        <w:tblW w:w="850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504"/>
      </w:tblGrid>
      <w:tr w:rsidR="009532A5" w14:paraId="57DA305D" w14:textId="77777777">
        <w:tc>
          <w:tcPr>
            <w:tcW w:w="8504" w:type="dxa"/>
            <w:tcBorders>
              <w:top w:val="single" w:sz="4" w:space="0" w:color="BFBFBF"/>
              <w:bottom w:val="single" w:sz="4" w:space="0" w:color="BFBFBF"/>
            </w:tcBorders>
            <w:tcMar>
              <w:top w:w="113" w:type="dxa"/>
              <w:bottom w:w="113" w:type="dxa"/>
            </w:tcMar>
          </w:tcPr>
          <w:p w14:paraId="6383F1A5" w14:textId="77777777" w:rsidR="009532A5" w:rsidRDefault="00000000">
            <w:p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EXIGENCIA, TIEMPO Y TECNOLOGÍA: TENSIONES EN LA EXPERIENCIA EDUCATIVA ACTUAL</w:t>
            </w:r>
          </w:p>
        </w:tc>
      </w:tr>
      <w:tr w:rsidR="009532A5" w14:paraId="3C4886BB" w14:textId="77777777">
        <w:tc>
          <w:tcPr>
            <w:tcW w:w="8504" w:type="dxa"/>
            <w:tcBorders>
              <w:top w:val="single" w:sz="4" w:space="0" w:color="BFBFBF"/>
              <w:bottom w:val="single" w:sz="4" w:space="0" w:color="BFBFBF"/>
            </w:tcBorders>
            <w:tcMar>
              <w:top w:w="113" w:type="dxa"/>
              <w:bottom w:w="113" w:type="dxa"/>
            </w:tcMar>
          </w:tcPr>
          <w:p w14:paraId="687E4F6D" w14:textId="77777777" w:rsidR="009532A5"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Bernat </w:t>
            </w:r>
            <w:proofErr w:type="spellStart"/>
            <w:r>
              <w:rPr>
                <w:rFonts w:ascii="Arial" w:eastAsia="Arial" w:hAnsi="Arial" w:cs="Arial"/>
                <w:color w:val="000000"/>
              </w:rPr>
              <w:t>Gigantino</w:t>
            </w:r>
            <w:proofErr w:type="spellEnd"/>
            <w:r>
              <w:rPr>
                <w:rFonts w:ascii="Arial" w:eastAsia="Arial" w:hAnsi="Arial" w:cs="Arial"/>
                <w:color w:val="000000"/>
              </w:rPr>
              <w:t xml:space="preserve">, Jorge Ernesto </w:t>
            </w:r>
            <w:proofErr w:type="gramStart"/>
            <w:r>
              <w:rPr>
                <w:rFonts w:ascii="Arial" w:eastAsia="Arial" w:hAnsi="Arial" w:cs="Arial"/>
                <w:color w:val="000000"/>
              </w:rPr>
              <w:t>Jesús  email</w:t>
            </w:r>
            <w:proofErr w:type="gramEnd"/>
            <w:r>
              <w:rPr>
                <w:rFonts w:ascii="Arial" w:eastAsia="Arial" w:hAnsi="Arial" w:cs="Arial"/>
                <w:color w:val="000000"/>
              </w:rPr>
              <w:t xml:space="preserve">: </w:t>
            </w:r>
            <w:hyperlink r:id="rId8">
              <w:r>
                <w:rPr>
                  <w:rFonts w:ascii="Arial" w:eastAsia="Arial" w:hAnsi="Arial" w:cs="Arial"/>
                  <w:color w:val="0000FF"/>
                  <w:u w:val="single"/>
                </w:rPr>
                <w:t>jejbernat79@gmail.com</w:t>
              </w:r>
            </w:hyperlink>
          </w:p>
          <w:p w14:paraId="50B9FB2A" w14:textId="68CFA262" w:rsidR="009532A5" w:rsidRDefault="00A106DC">
            <w:pPr>
              <w:pBdr>
                <w:top w:val="nil"/>
                <w:left w:val="nil"/>
                <w:bottom w:val="nil"/>
                <w:right w:val="nil"/>
                <w:between w:val="nil"/>
              </w:pBdr>
              <w:jc w:val="both"/>
              <w:rPr>
                <w:rFonts w:ascii="Arial" w:eastAsia="Arial" w:hAnsi="Arial" w:cs="Arial"/>
                <w:color w:val="000000"/>
              </w:rPr>
            </w:pPr>
            <w:proofErr w:type="spellStart"/>
            <w:r>
              <w:rPr>
                <w:rFonts w:ascii="Arial" w:eastAsia="Arial" w:hAnsi="Arial" w:cs="Arial"/>
                <w:color w:val="000000"/>
              </w:rPr>
              <w:t>Gutierrez</w:t>
            </w:r>
            <w:proofErr w:type="spellEnd"/>
            <w:r>
              <w:rPr>
                <w:rFonts w:ascii="Arial" w:eastAsia="Arial" w:hAnsi="Arial" w:cs="Arial"/>
                <w:color w:val="000000"/>
              </w:rPr>
              <w:t xml:space="preserve"> Videla</w:t>
            </w:r>
            <w:r w:rsidR="00000000">
              <w:rPr>
                <w:rFonts w:ascii="Arial" w:eastAsia="Arial" w:hAnsi="Arial" w:cs="Arial"/>
                <w:color w:val="000000"/>
              </w:rPr>
              <w:t xml:space="preserve">, Liliana </w:t>
            </w:r>
            <w:r w:rsidR="00000000">
              <w:rPr>
                <w:rFonts w:ascii="Arial" w:eastAsia="Arial" w:hAnsi="Arial" w:cs="Arial"/>
              </w:rPr>
              <w:t>Isabel</w:t>
            </w:r>
            <w:r w:rsidR="00000000">
              <w:rPr>
                <w:rFonts w:ascii="Arial" w:eastAsia="Arial" w:hAnsi="Arial" w:cs="Arial"/>
                <w:color w:val="000000"/>
              </w:rPr>
              <w:t xml:space="preserve"> </w:t>
            </w:r>
            <w:proofErr w:type="gramStart"/>
            <w:r w:rsidR="00000000">
              <w:rPr>
                <w:rFonts w:ascii="Arial" w:eastAsia="Arial" w:hAnsi="Arial" w:cs="Arial"/>
                <w:color w:val="000000"/>
              </w:rPr>
              <w:t>email:lilianagv@gmail.com</w:t>
            </w:r>
            <w:proofErr w:type="gramEnd"/>
          </w:p>
          <w:p w14:paraId="09E549AF" w14:textId="77777777" w:rsidR="009532A5"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Garcés Arévalo, Ana Laura email:</w:t>
            </w:r>
            <w:hyperlink r:id="rId9">
              <w:r>
                <w:rPr>
                  <w:rFonts w:ascii="Arial" w:eastAsia="Arial" w:hAnsi="Arial" w:cs="Arial"/>
                  <w:color w:val="0000FF"/>
                  <w:u w:val="single"/>
                </w:rPr>
                <w:t>analauragarces2011@gmail.com</w:t>
              </w:r>
            </w:hyperlink>
          </w:p>
        </w:tc>
      </w:tr>
      <w:tr w:rsidR="009532A5" w14:paraId="6386DBE7" w14:textId="77777777">
        <w:tc>
          <w:tcPr>
            <w:tcW w:w="8504" w:type="dxa"/>
            <w:tcBorders>
              <w:top w:val="single" w:sz="4" w:space="0" w:color="BFBFBF"/>
              <w:bottom w:val="single" w:sz="4" w:space="0" w:color="BFBFBF"/>
            </w:tcBorders>
            <w:tcMar>
              <w:top w:w="113" w:type="dxa"/>
              <w:bottom w:w="113" w:type="dxa"/>
            </w:tcMar>
          </w:tcPr>
          <w:p w14:paraId="45658AB3" w14:textId="77777777" w:rsidR="009532A5"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ISFD “</w:t>
            </w:r>
            <w:proofErr w:type="spellStart"/>
            <w:r>
              <w:rPr>
                <w:rFonts w:ascii="Arial" w:eastAsia="Arial" w:hAnsi="Arial" w:cs="Arial"/>
                <w:color w:val="000000"/>
              </w:rPr>
              <w:t>Dra</w:t>
            </w:r>
            <w:proofErr w:type="spellEnd"/>
            <w:r>
              <w:rPr>
                <w:rFonts w:ascii="Arial" w:eastAsia="Arial" w:hAnsi="Arial" w:cs="Arial"/>
                <w:color w:val="000000"/>
              </w:rPr>
              <w:t xml:space="preserve"> Carmen Peñaloza”</w:t>
            </w:r>
          </w:p>
        </w:tc>
      </w:tr>
      <w:tr w:rsidR="009532A5" w14:paraId="22E4D828" w14:textId="77777777">
        <w:tc>
          <w:tcPr>
            <w:tcW w:w="8504" w:type="dxa"/>
            <w:tcBorders>
              <w:top w:val="single" w:sz="4" w:space="0" w:color="BFBFBF"/>
              <w:bottom w:val="single" w:sz="4" w:space="0" w:color="BFBFBF"/>
            </w:tcBorders>
            <w:tcMar>
              <w:top w:w="113" w:type="dxa"/>
              <w:bottom w:w="113" w:type="dxa"/>
            </w:tcMar>
          </w:tcPr>
          <w:p w14:paraId="47AF15D1" w14:textId="77777777" w:rsidR="009532A5"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rPr>
              <w:t>Eje 5 - Reflexiones en torno a la educación con tecnologías en Humanidades y Ciencias sociales.</w:t>
            </w:r>
          </w:p>
        </w:tc>
      </w:tr>
    </w:tbl>
    <w:p w14:paraId="40453938" w14:textId="77777777" w:rsidR="009532A5" w:rsidRDefault="009532A5">
      <w:pPr>
        <w:spacing w:after="120"/>
        <w:jc w:val="both"/>
        <w:rPr>
          <w:rFonts w:ascii="Arial" w:eastAsia="Arial" w:hAnsi="Arial" w:cs="Arial"/>
          <w:i/>
        </w:rPr>
      </w:pPr>
    </w:p>
    <w:p w14:paraId="3AB0E625" w14:textId="77777777" w:rsidR="009532A5" w:rsidRDefault="00000000">
      <w:p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 xml:space="preserve">PALABRAS CLAVE positividad, sociedad de rendimiento, </w:t>
      </w:r>
      <w:proofErr w:type="spellStart"/>
      <w:r>
        <w:rPr>
          <w:rFonts w:ascii="Arial" w:eastAsia="Arial" w:hAnsi="Arial" w:cs="Arial"/>
          <w:color w:val="000000"/>
        </w:rPr>
        <w:t>hipermodernidad</w:t>
      </w:r>
      <w:proofErr w:type="spellEnd"/>
      <w:r>
        <w:rPr>
          <w:rFonts w:ascii="Arial" w:eastAsia="Arial" w:hAnsi="Arial" w:cs="Arial"/>
          <w:color w:val="000000"/>
        </w:rPr>
        <w:t>, tecnología y educación</w:t>
      </w:r>
    </w:p>
    <w:p w14:paraId="2F79FA40" w14:textId="77777777" w:rsidR="009532A5" w:rsidRDefault="009532A5">
      <w:pPr>
        <w:spacing w:after="120"/>
        <w:jc w:val="both"/>
        <w:rPr>
          <w:rFonts w:ascii="Arial" w:eastAsia="Arial" w:hAnsi="Arial" w:cs="Arial"/>
          <w:i/>
        </w:rPr>
      </w:pPr>
    </w:p>
    <w:p w14:paraId="758236CC" w14:textId="77777777" w:rsidR="009532A5" w:rsidRDefault="00000000">
      <w:pPr>
        <w:pBdr>
          <w:top w:val="nil"/>
          <w:left w:val="nil"/>
          <w:bottom w:val="nil"/>
          <w:right w:val="nil"/>
          <w:between w:val="nil"/>
        </w:pBdr>
        <w:spacing w:after="0"/>
        <w:jc w:val="both"/>
        <w:rPr>
          <w:rFonts w:ascii="Arial" w:eastAsia="Arial" w:hAnsi="Arial" w:cs="Arial"/>
          <w:b/>
          <w:color w:val="000000"/>
        </w:rPr>
      </w:pPr>
      <w:r>
        <w:rPr>
          <w:rFonts w:ascii="Arial" w:eastAsia="Arial" w:hAnsi="Arial" w:cs="Arial"/>
          <w:b/>
          <w:color w:val="000000"/>
        </w:rPr>
        <w:t>INTRODUCCIÓN</w:t>
      </w:r>
    </w:p>
    <w:p w14:paraId="1F7D303D"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 xml:space="preserve">La educación actual se desarrolla en un contexto marcado por la aceleración social, la presión por los resultados y la omnipresencia de la tecnología digital. Estos factores no solo transforman las dinámicas institucionales, sino también las subjetividades de docentes y estudiantes. El objetivo de este trabajo es analizar cómo la exigencia institucional, la presión social y el uso intensivo de tecnologías configuran una experiencia educativa atravesada por la velocidad, la </w:t>
      </w:r>
      <w:proofErr w:type="spellStart"/>
      <w:r>
        <w:rPr>
          <w:rFonts w:ascii="Arial" w:eastAsia="Arial" w:hAnsi="Arial" w:cs="Arial"/>
          <w:color w:val="000000"/>
          <w:highlight w:val="white"/>
        </w:rPr>
        <w:t>hiperproductividad</w:t>
      </w:r>
      <w:proofErr w:type="spellEnd"/>
      <w:r>
        <w:rPr>
          <w:rFonts w:ascii="Arial" w:eastAsia="Arial" w:hAnsi="Arial" w:cs="Arial"/>
          <w:color w:val="000000"/>
          <w:highlight w:val="white"/>
        </w:rPr>
        <w:t xml:space="preserve"> y la tensión constante entre trabajo académico y vida personal del docente. Además, se busca explorar posibles alternativas para repensar el papel de la tecnología, no solo como fuente de distracción o presión, sino también como una herramienta con potencial para facilitar la desconexión y el equilibrio personal, siempre que su uso se base en un paradigma diferente al vigente.</w:t>
      </w:r>
    </w:p>
    <w:p w14:paraId="20B05F04" w14:textId="77777777" w:rsidR="009532A5" w:rsidRDefault="009532A5">
      <w:pPr>
        <w:pBdr>
          <w:top w:val="nil"/>
          <w:left w:val="nil"/>
          <w:bottom w:val="nil"/>
          <w:right w:val="nil"/>
          <w:between w:val="nil"/>
        </w:pBdr>
        <w:spacing w:after="0"/>
        <w:jc w:val="both"/>
        <w:rPr>
          <w:rFonts w:ascii="Arial" w:eastAsia="Arial" w:hAnsi="Arial" w:cs="Arial"/>
          <w:b/>
          <w:color w:val="000000"/>
        </w:rPr>
      </w:pPr>
    </w:p>
    <w:p w14:paraId="2939E18A" w14:textId="77777777" w:rsidR="009532A5" w:rsidRDefault="00000000">
      <w:pPr>
        <w:pBdr>
          <w:top w:val="nil"/>
          <w:left w:val="nil"/>
          <w:bottom w:val="nil"/>
          <w:right w:val="nil"/>
          <w:between w:val="nil"/>
        </w:pBdr>
        <w:spacing w:after="0"/>
        <w:jc w:val="both"/>
        <w:rPr>
          <w:rFonts w:ascii="Arial" w:eastAsia="Arial" w:hAnsi="Arial" w:cs="Arial"/>
          <w:b/>
          <w:color w:val="000000"/>
        </w:rPr>
      </w:pPr>
      <w:r>
        <w:rPr>
          <w:rFonts w:ascii="Arial" w:eastAsia="Arial" w:hAnsi="Arial" w:cs="Arial"/>
          <w:b/>
          <w:color w:val="000000"/>
        </w:rPr>
        <w:t>OBJETIVOS</w:t>
      </w:r>
    </w:p>
    <w:p w14:paraId="2C8E30BE" w14:textId="2A583AE1"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 xml:space="preserve">Analizar los desafíos que acontecen al individuo contemporáneo e indagar acerca del impacto de las exigencias, el tiempo y </w:t>
      </w:r>
      <w:r w:rsidR="00A106DC">
        <w:rPr>
          <w:rFonts w:ascii="Arial" w:eastAsia="Arial" w:hAnsi="Arial" w:cs="Arial"/>
          <w:color w:val="000000"/>
          <w:highlight w:val="white"/>
        </w:rPr>
        <w:t>la tecnología</w:t>
      </w:r>
      <w:r>
        <w:rPr>
          <w:rFonts w:ascii="Arial" w:eastAsia="Arial" w:hAnsi="Arial" w:cs="Arial"/>
          <w:highlight w:val="white"/>
        </w:rPr>
        <w:t xml:space="preserve"> en la</w:t>
      </w:r>
      <w:r>
        <w:rPr>
          <w:rFonts w:ascii="Arial" w:eastAsia="Arial" w:hAnsi="Arial" w:cs="Arial"/>
          <w:color w:val="000000"/>
          <w:highlight w:val="white"/>
        </w:rPr>
        <w:t xml:space="preserve"> educación.</w:t>
      </w:r>
    </w:p>
    <w:p w14:paraId="65F0B90B"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 xml:space="preserve">Considerar los aportes de </w:t>
      </w:r>
      <w:proofErr w:type="spellStart"/>
      <w:r>
        <w:rPr>
          <w:rFonts w:ascii="Arial" w:eastAsia="Arial" w:hAnsi="Arial" w:cs="Arial"/>
          <w:color w:val="000000"/>
          <w:highlight w:val="white"/>
        </w:rPr>
        <w:t>Byung-Chul</w:t>
      </w:r>
      <w:proofErr w:type="spellEnd"/>
      <w:r>
        <w:rPr>
          <w:rFonts w:ascii="Arial" w:eastAsia="Arial" w:hAnsi="Arial" w:cs="Arial"/>
          <w:color w:val="000000"/>
          <w:highlight w:val="white"/>
        </w:rPr>
        <w:t xml:space="preserve"> Han y otros autores para reflexionar sobre la práctica educativa.</w:t>
      </w:r>
    </w:p>
    <w:p w14:paraId="5EF7DAE6" w14:textId="77777777" w:rsidR="009532A5" w:rsidRDefault="009532A5">
      <w:pPr>
        <w:pBdr>
          <w:top w:val="nil"/>
          <w:left w:val="nil"/>
          <w:bottom w:val="nil"/>
          <w:right w:val="nil"/>
          <w:between w:val="nil"/>
        </w:pBdr>
        <w:spacing w:after="0"/>
        <w:jc w:val="both"/>
        <w:rPr>
          <w:rFonts w:ascii="Arial" w:eastAsia="Arial" w:hAnsi="Arial" w:cs="Arial"/>
          <w:color w:val="000000"/>
        </w:rPr>
      </w:pPr>
    </w:p>
    <w:p w14:paraId="659585B7" w14:textId="77777777" w:rsidR="009532A5" w:rsidRDefault="00000000">
      <w:pPr>
        <w:pBdr>
          <w:top w:val="nil"/>
          <w:left w:val="nil"/>
          <w:bottom w:val="nil"/>
          <w:right w:val="nil"/>
          <w:between w:val="nil"/>
        </w:pBdr>
        <w:spacing w:after="0"/>
        <w:jc w:val="both"/>
        <w:rPr>
          <w:rFonts w:ascii="Arial" w:eastAsia="Arial" w:hAnsi="Arial" w:cs="Arial"/>
          <w:b/>
          <w:color w:val="000000"/>
        </w:rPr>
      </w:pPr>
      <w:r>
        <w:rPr>
          <w:rFonts w:ascii="Arial" w:eastAsia="Arial" w:hAnsi="Arial" w:cs="Arial"/>
          <w:b/>
          <w:color w:val="000000"/>
        </w:rPr>
        <w:t>MATERIALES Y MÉTODOS</w:t>
      </w:r>
    </w:p>
    <w:p w14:paraId="3437A75B"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 xml:space="preserve">La investigación se basó, fundamentalmente, en las ideas de </w:t>
      </w:r>
      <w:proofErr w:type="spellStart"/>
      <w:r>
        <w:rPr>
          <w:rFonts w:ascii="Arial" w:eastAsia="Arial" w:hAnsi="Arial" w:cs="Arial"/>
          <w:color w:val="000000"/>
          <w:highlight w:val="white"/>
        </w:rPr>
        <w:t>Byung-Chul</w:t>
      </w:r>
      <w:proofErr w:type="spellEnd"/>
      <w:r>
        <w:rPr>
          <w:rFonts w:ascii="Arial" w:eastAsia="Arial" w:hAnsi="Arial" w:cs="Arial"/>
          <w:color w:val="000000"/>
          <w:highlight w:val="white"/>
        </w:rPr>
        <w:t xml:space="preserve"> Han (2012, 2014, 2017); se realizó un trabajo de análisis de algunas de sus obras aplicadas al contexto educativo. El autor, describe una sociedad de “exceso de positividad” y rendimiento constante, donde se fuerza a la sociedad y a las personas a un rendimiento excesivo tendiente al éxito. Las reflexiones del mencionado autor, sirven como base para analizar los desafíos culturales que atraviesan la educación. En este sentido, describe la transición desde una sociedad disciplinaria hacia una sociedad de rendimiento, en la que cada individuo se convierte en su propio gestor y evaluador, posicionándose para alcanzar niveles cada vez más altos de productividad.</w:t>
      </w:r>
    </w:p>
    <w:p w14:paraId="561C1AC9"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Esta lógica permea la educación, donde el foco se centra en resultados cuantificables más que en la construcción de experiencias de aprendizaje profundo. Por lo tanto, las exigencias, el tiempo y la tecnología son variables de tensión en el ámbito educativo actual. La Institución Educativa, inmersa en este contexto prioriza la importancia de los resultados por sobre las necesidades de los actores institucionales. Además, Han nos alerta sobre la “</w:t>
      </w:r>
      <w:proofErr w:type="spellStart"/>
      <w:r>
        <w:rPr>
          <w:rFonts w:ascii="Arial" w:eastAsia="Arial" w:hAnsi="Arial" w:cs="Arial"/>
          <w:color w:val="000000"/>
          <w:highlight w:val="white"/>
        </w:rPr>
        <w:t>hiperconexión</w:t>
      </w:r>
      <w:proofErr w:type="spellEnd"/>
      <w:r>
        <w:rPr>
          <w:rFonts w:ascii="Arial" w:eastAsia="Arial" w:hAnsi="Arial" w:cs="Arial"/>
          <w:color w:val="000000"/>
          <w:highlight w:val="white"/>
        </w:rPr>
        <w:t xml:space="preserve">” digital, la sensación de estar siempre online, fragmentando </w:t>
      </w:r>
      <w:r>
        <w:rPr>
          <w:rFonts w:ascii="Arial" w:eastAsia="Arial" w:hAnsi="Arial" w:cs="Arial"/>
          <w:color w:val="000000"/>
          <w:highlight w:val="white"/>
        </w:rPr>
        <w:lastRenderedPageBreak/>
        <w:t>la atención. La tecnología, con sus notificaciones, interrumpe y desconecta las emociones, los procesos cognitivos. Los actores educativos viven conectados, pero paradójicamente desconectados de la posibilidad de sostener una reflexión prolongada. Frente a esto, Han propone recuperar la contemplación, el silencio y la pausa, como estrategia de una educación integral.</w:t>
      </w:r>
    </w:p>
    <w:p w14:paraId="0F3C6ADD"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En este marco, la cuestión del tiempo se vuelve central. La escuela ya no solo enfrenta la presión de obtener resultados, sino también la de hacerlo con una inmediatez casi instantánea, propia de una cultura que valora la rapidez por encima de la profundidad. La temporalidad educativa, entendida históricamente como un espacio de procesos, de maduración y reflexión, se reduce a la urgencia y la multitarea. Han (2014) advierte que esta aceleración constante erosiona la experiencia humana, no respetando los tiempos requeridos para los procesos de aprendizaje.</w:t>
      </w:r>
    </w:p>
    <w:p w14:paraId="1BDC4B99"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M</w:t>
      </w:r>
      <w:r>
        <w:rPr>
          <w:rFonts w:ascii="Arial" w:eastAsia="Arial" w:hAnsi="Arial" w:cs="Arial"/>
          <w:highlight w:val="white"/>
        </w:rPr>
        <w:t>ÉTODO</w:t>
      </w:r>
    </w:p>
    <w:p w14:paraId="6D4CDF9B"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 xml:space="preserve">La investigación se diseñó con un enfoque mixto, de carácter descriptivo y exploratorio. En primer lugar, se llevó a cabo una revisión documental y bibliográfica centrada en las categorías de sociedad del rendimiento, vigilancia digital, psicopolítica y necesidad de contemplación. Esta etapa permitió construir un marco conceptual sólido desde el cual interpretar las dinámicas educativas contemporáneas. </w:t>
      </w:r>
    </w:p>
    <w:p w14:paraId="392B31E6" w14:textId="77777777" w:rsidR="009532A5" w:rsidRDefault="00000000">
      <w:p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highlight w:val="white"/>
        </w:rPr>
        <w:t>En segundo lugar, se implementaron encuestas estructuradas a dos grupos diferenciados: 155 docentes y 216 estudiantes de nivel secundario y superior. Las encuestas, diseñadas con escalas tipo Likert, tuvo por finalidad detectar las exigencias académicas, el tiempo destinado a la formación y el uso de la tecnología. En este caso, se presentarán los datos obtenidos de los docentes. El análisis de dichos datos se relaciona con un enfoque estadístico descriptivo, complementado con una lectura cualitativa de las tendencias predominantes.</w:t>
      </w:r>
    </w:p>
    <w:p w14:paraId="4926104F" w14:textId="77777777" w:rsidR="009532A5" w:rsidRDefault="009532A5">
      <w:pPr>
        <w:pBdr>
          <w:top w:val="nil"/>
          <w:left w:val="nil"/>
          <w:bottom w:val="nil"/>
          <w:right w:val="nil"/>
          <w:between w:val="nil"/>
        </w:pBdr>
        <w:spacing w:after="0"/>
        <w:jc w:val="both"/>
        <w:rPr>
          <w:rFonts w:ascii="Arial" w:eastAsia="Arial" w:hAnsi="Arial" w:cs="Arial"/>
          <w:b/>
          <w:color w:val="000000"/>
        </w:rPr>
      </w:pPr>
    </w:p>
    <w:p w14:paraId="544C72AD" w14:textId="77777777" w:rsidR="009532A5" w:rsidRDefault="00000000">
      <w:pPr>
        <w:pBdr>
          <w:top w:val="nil"/>
          <w:left w:val="nil"/>
          <w:bottom w:val="nil"/>
          <w:right w:val="nil"/>
          <w:between w:val="nil"/>
        </w:pBdr>
        <w:spacing w:after="0"/>
        <w:jc w:val="both"/>
        <w:rPr>
          <w:rFonts w:ascii="Arial" w:eastAsia="Arial" w:hAnsi="Arial" w:cs="Arial"/>
          <w:b/>
          <w:color w:val="000000"/>
        </w:rPr>
      </w:pPr>
      <w:r>
        <w:rPr>
          <w:rFonts w:ascii="Arial" w:eastAsia="Arial" w:hAnsi="Arial" w:cs="Arial"/>
          <w:b/>
          <w:color w:val="000000"/>
        </w:rPr>
        <w:t>RESULTADOS Y DISCUSIÓN</w:t>
      </w:r>
    </w:p>
    <w:p w14:paraId="13D837BC"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La encuesta realizada a docentes de distintos niveles educativos permitió identificar tendencias claras, preocupaciones compartidas y demandas institucionales profundas respecto al estado actual de la práctica educativa en el contexto cultural contemporáneo.</w:t>
      </w:r>
    </w:p>
    <w:p w14:paraId="68DED573"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Desde el punto de vista cuantitativo, los resultados muestran una percepción predominantemente crítica en relación con:</w:t>
      </w:r>
    </w:p>
    <w:p w14:paraId="47AF98C9"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w:t>
      </w:r>
      <w:r>
        <w:rPr>
          <w:rFonts w:ascii="Arial" w:eastAsia="Arial" w:hAnsi="Arial" w:cs="Arial"/>
          <w:color w:val="000000"/>
          <w:highlight w:val="white"/>
        </w:rPr>
        <w:tab/>
        <w:t>La cultura del rendimiento y la aceleración;</w:t>
      </w:r>
    </w:p>
    <w:p w14:paraId="36852219"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w:t>
      </w:r>
      <w:r>
        <w:rPr>
          <w:rFonts w:ascii="Arial" w:eastAsia="Arial" w:hAnsi="Arial" w:cs="Arial"/>
          <w:color w:val="000000"/>
          <w:highlight w:val="white"/>
        </w:rPr>
        <w:tab/>
        <w:t xml:space="preserve">La fragmentación del pensamiento estudiantil producto de la </w:t>
      </w:r>
      <w:proofErr w:type="spellStart"/>
      <w:r>
        <w:rPr>
          <w:rFonts w:ascii="Arial" w:eastAsia="Arial" w:hAnsi="Arial" w:cs="Arial"/>
          <w:color w:val="000000"/>
          <w:highlight w:val="white"/>
        </w:rPr>
        <w:t>hiperconectividad</w:t>
      </w:r>
      <w:proofErr w:type="spellEnd"/>
      <w:r>
        <w:rPr>
          <w:rFonts w:ascii="Arial" w:eastAsia="Arial" w:hAnsi="Arial" w:cs="Arial"/>
          <w:color w:val="000000"/>
          <w:highlight w:val="white"/>
        </w:rPr>
        <w:t>;</w:t>
      </w:r>
    </w:p>
    <w:p w14:paraId="2C79F313"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w:t>
      </w:r>
      <w:r>
        <w:rPr>
          <w:rFonts w:ascii="Arial" w:eastAsia="Arial" w:hAnsi="Arial" w:cs="Arial"/>
          <w:color w:val="000000"/>
          <w:highlight w:val="white"/>
        </w:rPr>
        <w:tab/>
        <w:t>La insuficiencia de espacios institucionales para la reflexión crítica y el desarrollo docente;</w:t>
      </w:r>
    </w:p>
    <w:p w14:paraId="5D6ED925"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w:t>
      </w:r>
      <w:r>
        <w:rPr>
          <w:rFonts w:ascii="Arial" w:eastAsia="Arial" w:hAnsi="Arial" w:cs="Arial"/>
          <w:color w:val="000000"/>
          <w:highlight w:val="white"/>
        </w:rPr>
        <w:tab/>
        <w:t>Y una creciente dificultad para sostener prácticas inclusivas, formativas y emocionalmente significativas.</w:t>
      </w:r>
    </w:p>
    <w:p w14:paraId="008D57F5" w14:textId="0C9E3005"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 xml:space="preserve">A modo de muestra para este trabajo, tomamos la pregunta sobre </w:t>
      </w:r>
      <w:r w:rsidRPr="00A106DC">
        <w:rPr>
          <w:rFonts w:ascii="Arial" w:eastAsia="Arial" w:hAnsi="Arial" w:cs="Arial"/>
        </w:rPr>
        <w:t>“</w:t>
      </w:r>
      <w:r w:rsidR="00A106DC" w:rsidRPr="00A106DC">
        <w:rPr>
          <w:rFonts w:ascii="Arial" w:eastAsia="Arial" w:hAnsi="Arial" w:cs="Arial"/>
          <w:color w:val="000000"/>
        </w:rPr>
        <w:t>clima educativo y cultura</w:t>
      </w:r>
      <w:r w:rsidRPr="00A106DC">
        <w:rPr>
          <w:rFonts w:ascii="Arial" w:eastAsia="Arial" w:hAnsi="Arial" w:cs="Arial"/>
        </w:rPr>
        <w:t>”,</w:t>
      </w:r>
      <w:r>
        <w:rPr>
          <w:rFonts w:ascii="Arial" w:eastAsia="Arial" w:hAnsi="Arial" w:cs="Arial"/>
          <w:highlight w:val="white"/>
        </w:rPr>
        <w:t xml:space="preserve"> la cual, </w:t>
      </w:r>
      <w:r>
        <w:rPr>
          <w:rFonts w:ascii="Arial" w:eastAsia="Arial" w:hAnsi="Arial" w:cs="Arial"/>
          <w:color w:val="000000"/>
          <w:highlight w:val="white"/>
        </w:rPr>
        <w:t xml:space="preserve">tuvo como finalidad relevar la percepción de los docentes sobre el grado en que la presión institucional o social por alcanzar determinados niveles de rendimiento y éxito, impacta en el ambiente educativo. La escala utilizada permitió medir el nivel de influencia que los docentes adjudican a esta presión, desde “nada influyente” hasta “extremadamente influyente”.  </w:t>
      </w:r>
    </w:p>
    <w:p w14:paraId="4973FA9D" w14:textId="77777777" w:rsidR="009532A5" w:rsidRDefault="009532A5">
      <w:pPr>
        <w:pBdr>
          <w:top w:val="nil"/>
          <w:left w:val="nil"/>
          <w:bottom w:val="nil"/>
          <w:right w:val="nil"/>
          <w:between w:val="nil"/>
        </w:pBdr>
        <w:spacing w:after="0"/>
        <w:jc w:val="center"/>
        <w:rPr>
          <w:rFonts w:ascii="Arial" w:eastAsia="Arial" w:hAnsi="Arial" w:cs="Arial"/>
          <w:color w:val="000000"/>
          <w:highlight w:val="white"/>
        </w:rPr>
      </w:pPr>
    </w:p>
    <w:p w14:paraId="0162441D" w14:textId="77777777" w:rsidR="009532A5" w:rsidRDefault="009532A5">
      <w:pPr>
        <w:pBdr>
          <w:top w:val="nil"/>
          <w:left w:val="nil"/>
          <w:bottom w:val="nil"/>
          <w:right w:val="nil"/>
          <w:between w:val="nil"/>
        </w:pBdr>
        <w:spacing w:after="0"/>
        <w:jc w:val="center"/>
        <w:rPr>
          <w:rFonts w:ascii="Arial" w:eastAsia="Arial" w:hAnsi="Arial" w:cs="Arial"/>
          <w:color w:val="000000"/>
          <w:highlight w:val="white"/>
        </w:rPr>
      </w:pPr>
    </w:p>
    <w:p w14:paraId="31DBBAC4" w14:textId="77777777" w:rsidR="009532A5" w:rsidRDefault="00000000">
      <w:pPr>
        <w:pBdr>
          <w:top w:val="nil"/>
          <w:left w:val="nil"/>
          <w:bottom w:val="nil"/>
          <w:right w:val="nil"/>
          <w:between w:val="nil"/>
        </w:pBdr>
        <w:spacing w:after="0"/>
        <w:jc w:val="center"/>
        <w:rPr>
          <w:rFonts w:ascii="Arial" w:eastAsia="Arial" w:hAnsi="Arial" w:cs="Arial"/>
          <w:color w:val="000000"/>
          <w:highlight w:val="white"/>
        </w:rPr>
      </w:pPr>
      <w:r>
        <w:rPr>
          <w:i/>
          <w:noProof/>
        </w:rPr>
        <w:lastRenderedPageBreak/>
        <w:drawing>
          <wp:inline distT="114300" distB="114300" distL="114300" distR="114300" wp14:anchorId="7C4B8713" wp14:editId="7889E719">
            <wp:extent cx="4621530" cy="2590800"/>
            <wp:effectExtent l="0" t="0" r="0" b="0"/>
            <wp:docPr id="2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621530" cy="2590800"/>
                    </a:xfrm>
                    <a:prstGeom prst="rect">
                      <a:avLst/>
                    </a:prstGeom>
                    <a:ln/>
                  </pic:spPr>
                </pic:pic>
              </a:graphicData>
            </a:graphic>
          </wp:inline>
        </w:drawing>
      </w:r>
    </w:p>
    <w:p w14:paraId="5598CDD1"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 xml:space="preserve"> </w:t>
      </w:r>
    </w:p>
    <w:p w14:paraId="621C9D62"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Un 83.2% de los docentes considera que la presión por el rendimiento influye significativamente o muy fuertemente en el ambiente educativo. Esta percepción predominante indica que la cultura institucional está atravesada por exigencias relacionadas con el cumplimiento de metas, resultados y estándares de evaluación, generando un clima de tensión y productividad forzada.</w:t>
      </w:r>
    </w:p>
    <w:p w14:paraId="7ECEA1A6"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highlight w:val="white"/>
        </w:rPr>
        <w:t>E</w:t>
      </w:r>
      <w:r>
        <w:rPr>
          <w:rFonts w:ascii="Arial" w:eastAsia="Arial" w:hAnsi="Arial" w:cs="Arial"/>
          <w:color w:val="000000"/>
          <w:highlight w:val="white"/>
        </w:rPr>
        <w:t>sta presión sugiere una transformación en el sentido del trabajo educativo, donde la pedagogía puede quedar subordinada a la lógica del control, el cumplimiento y la visibilidad. Este dato es fundamental para pensar estrategias que prioricen los procesos de enseñanza-aprendizaje por sobre los indicadores cuantitativos de rendimiento.</w:t>
      </w:r>
    </w:p>
    <w:p w14:paraId="581C5078"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Las encuestas tomadas realizaron aportes significativos sobre la tem</w:t>
      </w:r>
      <w:r>
        <w:rPr>
          <w:rFonts w:ascii="Arial" w:eastAsia="Arial" w:hAnsi="Arial" w:cs="Arial"/>
          <w:highlight w:val="white"/>
        </w:rPr>
        <w:t>ática expuesta con expresiones tales como</w:t>
      </w:r>
      <w:r>
        <w:rPr>
          <w:rFonts w:ascii="Arial" w:eastAsia="Arial" w:hAnsi="Arial" w:cs="Arial"/>
          <w:color w:val="000000"/>
          <w:highlight w:val="white"/>
        </w:rPr>
        <w:t xml:space="preserve">: </w:t>
      </w:r>
    </w:p>
    <w:p w14:paraId="5147EC7A" w14:textId="77777777" w:rsidR="009532A5" w:rsidRDefault="00000000">
      <w:pPr>
        <w:numPr>
          <w:ilvl w:val="0"/>
          <w:numId w:val="1"/>
        </w:numPr>
        <w:pBdr>
          <w:top w:val="nil"/>
          <w:left w:val="nil"/>
          <w:bottom w:val="nil"/>
          <w:right w:val="nil"/>
          <w:between w:val="nil"/>
        </w:pBdr>
        <w:spacing w:after="0"/>
        <w:jc w:val="both"/>
        <w:rPr>
          <w:rFonts w:ascii="Arial" w:eastAsia="Arial" w:hAnsi="Arial" w:cs="Arial"/>
          <w:highlight w:val="white"/>
        </w:rPr>
      </w:pPr>
      <w:r>
        <w:rPr>
          <w:rFonts w:ascii="Arial" w:eastAsia="Arial" w:hAnsi="Arial" w:cs="Arial"/>
          <w:highlight w:val="white"/>
        </w:rPr>
        <w:t>D</w:t>
      </w:r>
      <w:r>
        <w:rPr>
          <w:rFonts w:ascii="Arial" w:eastAsia="Arial" w:hAnsi="Arial" w:cs="Arial"/>
          <w:color w:val="000000"/>
          <w:highlight w:val="white"/>
        </w:rPr>
        <w:t xml:space="preserve">esconexión entre las decisiones institucionales y la realidad del aula; </w:t>
      </w:r>
    </w:p>
    <w:p w14:paraId="4F47D8D7" w14:textId="77777777" w:rsidR="009532A5" w:rsidRDefault="00000000">
      <w:pPr>
        <w:numPr>
          <w:ilvl w:val="0"/>
          <w:numId w:val="1"/>
        </w:numPr>
        <w:pBdr>
          <w:top w:val="nil"/>
          <w:left w:val="nil"/>
          <w:bottom w:val="nil"/>
          <w:right w:val="nil"/>
          <w:between w:val="nil"/>
        </w:pBdr>
        <w:spacing w:after="0"/>
        <w:jc w:val="both"/>
        <w:rPr>
          <w:rFonts w:ascii="Arial" w:eastAsia="Arial" w:hAnsi="Arial" w:cs="Arial"/>
          <w:highlight w:val="white"/>
        </w:rPr>
      </w:pPr>
      <w:r>
        <w:rPr>
          <w:rFonts w:ascii="Arial" w:eastAsia="Arial" w:hAnsi="Arial" w:cs="Arial"/>
          <w:highlight w:val="white"/>
        </w:rPr>
        <w:t xml:space="preserve">Falta de </w:t>
      </w:r>
      <w:r>
        <w:rPr>
          <w:rFonts w:ascii="Arial" w:eastAsia="Arial" w:hAnsi="Arial" w:cs="Arial"/>
          <w:color w:val="000000"/>
          <w:highlight w:val="white"/>
        </w:rPr>
        <w:t>tiempos de</w:t>
      </w:r>
      <w:r>
        <w:rPr>
          <w:rFonts w:ascii="Arial" w:eastAsia="Arial" w:hAnsi="Arial" w:cs="Arial"/>
          <w:highlight w:val="white"/>
        </w:rPr>
        <w:t xml:space="preserve"> </w:t>
      </w:r>
      <w:r>
        <w:rPr>
          <w:rFonts w:ascii="Arial" w:eastAsia="Arial" w:hAnsi="Arial" w:cs="Arial"/>
          <w:color w:val="000000"/>
          <w:highlight w:val="white"/>
        </w:rPr>
        <w:t>pensamiento,</w:t>
      </w:r>
      <w:r>
        <w:rPr>
          <w:rFonts w:ascii="Arial" w:eastAsia="Arial" w:hAnsi="Arial" w:cs="Arial"/>
          <w:highlight w:val="white"/>
        </w:rPr>
        <w:t xml:space="preserve"> reflexión, análisis crítico </w:t>
      </w:r>
      <w:r>
        <w:rPr>
          <w:rFonts w:ascii="Arial" w:eastAsia="Arial" w:hAnsi="Arial" w:cs="Arial"/>
          <w:color w:val="000000"/>
          <w:highlight w:val="white"/>
        </w:rPr>
        <w:t>y construcción colectiva;</w:t>
      </w:r>
    </w:p>
    <w:p w14:paraId="125685C0" w14:textId="77777777" w:rsidR="009532A5" w:rsidRDefault="00000000">
      <w:pPr>
        <w:numPr>
          <w:ilvl w:val="0"/>
          <w:numId w:val="1"/>
        </w:numPr>
        <w:pBdr>
          <w:top w:val="nil"/>
          <w:left w:val="nil"/>
          <w:bottom w:val="nil"/>
          <w:right w:val="nil"/>
          <w:between w:val="nil"/>
        </w:pBdr>
        <w:spacing w:after="0"/>
        <w:jc w:val="both"/>
        <w:rPr>
          <w:rFonts w:ascii="Arial" w:eastAsia="Arial" w:hAnsi="Arial" w:cs="Arial"/>
          <w:highlight w:val="white"/>
        </w:rPr>
      </w:pPr>
      <w:r>
        <w:rPr>
          <w:rFonts w:ascii="Arial" w:eastAsia="Arial" w:hAnsi="Arial" w:cs="Arial"/>
          <w:highlight w:val="white"/>
        </w:rPr>
        <w:t>P</w:t>
      </w:r>
      <w:r>
        <w:rPr>
          <w:rFonts w:ascii="Arial" w:eastAsia="Arial" w:hAnsi="Arial" w:cs="Arial"/>
          <w:color w:val="000000"/>
          <w:highlight w:val="white"/>
        </w:rPr>
        <w:t>resión estructural y social que afecta tanto a estudiantes como a educadore</w:t>
      </w:r>
      <w:r>
        <w:rPr>
          <w:rFonts w:ascii="Arial" w:eastAsia="Arial" w:hAnsi="Arial" w:cs="Arial"/>
          <w:highlight w:val="white"/>
        </w:rPr>
        <w:t>,</w:t>
      </w:r>
    </w:p>
    <w:p w14:paraId="1C55E1D5" w14:textId="77777777" w:rsidR="009532A5" w:rsidRDefault="00000000">
      <w:pPr>
        <w:numPr>
          <w:ilvl w:val="0"/>
          <w:numId w:val="1"/>
        </w:numPr>
        <w:pBdr>
          <w:top w:val="nil"/>
          <w:left w:val="nil"/>
          <w:bottom w:val="nil"/>
          <w:right w:val="nil"/>
          <w:between w:val="nil"/>
        </w:pBdr>
        <w:spacing w:after="0"/>
        <w:jc w:val="both"/>
        <w:rPr>
          <w:rFonts w:ascii="Arial" w:eastAsia="Arial" w:hAnsi="Arial" w:cs="Arial"/>
          <w:highlight w:val="white"/>
        </w:rPr>
      </w:pPr>
      <w:r>
        <w:rPr>
          <w:rFonts w:ascii="Arial" w:eastAsia="Arial" w:hAnsi="Arial" w:cs="Arial"/>
          <w:highlight w:val="white"/>
        </w:rPr>
        <w:t xml:space="preserve">Necesidad de </w:t>
      </w:r>
      <w:r>
        <w:rPr>
          <w:rFonts w:ascii="Arial" w:eastAsia="Arial" w:hAnsi="Arial" w:cs="Arial"/>
          <w:color w:val="000000"/>
          <w:highlight w:val="white"/>
        </w:rPr>
        <w:t>generar espacios reales de diálogo, acompañamiento y profesionalización.</w:t>
      </w:r>
    </w:p>
    <w:p w14:paraId="25C55C02" w14:textId="77777777" w:rsidR="009532A5" w:rsidRDefault="00000000">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highlight w:val="white"/>
        </w:rPr>
        <w:t>La mayoría de las encuestas</w:t>
      </w:r>
      <w:r>
        <w:rPr>
          <w:rFonts w:ascii="Arial" w:eastAsia="Arial" w:hAnsi="Arial" w:cs="Arial"/>
          <w:color w:val="000000"/>
          <w:highlight w:val="white"/>
        </w:rPr>
        <w:t xml:space="preserve"> destacan la sobrecarga docente, la adecuación del uso de la tecnología, la ausencia de formación situada, y la desmotivación generada por lógicas burocráticas y estandarizadas. También, hacen alusión a:</w:t>
      </w:r>
    </w:p>
    <w:p w14:paraId="1F6771F9" w14:textId="77777777" w:rsidR="009532A5" w:rsidRDefault="00000000">
      <w:pPr>
        <w:numPr>
          <w:ilvl w:val="0"/>
          <w:numId w:val="2"/>
        </w:num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 xml:space="preserve">la mejora de gabinetes psicopedagógicos, </w:t>
      </w:r>
    </w:p>
    <w:p w14:paraId="5E8C2E9A" w14:textId="77777777" w:rsidR="009532A5" w:rsidRDefault="00000000">
      <w:pPr>
        <w:numPr>
          <w:ilvl w:val="0"/>
          <w:numId w:val="2"/>
        </w:num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el acompañamiento emocional y</w:t>
      </w:r>
    </w:p>
    <w:p w14:paraId="42E4BF48" w14:textId="77777777" w:rsidR="009532A5" w:rsidRDefault="00000000">
      <w:pPr>
        <w:numPr>
          <w:ilvl w:val="0"/>
          <w:numId w:val="2"/>
        </w:numPr>
        <w:pBdr>
          <w:top w:val="nil"/>
          <w:left w:val="nil"/>
          <w:bottom w:val="nil"/>
          <w:right w:val="nil"/>
          <w:between w:val="nil"/>
        </w:pBdr>
        <w:spacing w:after="0"/>
        <w:jc w:val="both"/>
        <w:rPr>
          <w:rFonts w:ascii="Arial" w:eastAsia="Arial" w:hAnsi="Arial" w:cs="Arial"/>
          <w:highlight w:val="white"/>
        </w:rPr>
      </w:pPr>
      <w:r>
        <w:rPr>
          <w:rFonts w:ascii="Arial" w:eastAsia="Arial" w:hAnsi="Arial" w:cs="Arial"/>
          <w:highlight w:val="white"/>
        </w:rPr>
        <w:t>l</w:t>
      </w:r>
      <w:r>
        <w:rPr>
          <w:rFonts w:ascii="Arial" w:eastAsia="Arial" w:hAnsi="Arial" w:cs="Arial"/>
          <w:color w:val="000000"/>
          <w:highlight w:val="white"/>
        </w:rPr>
        <w:t>a necesidad de revisar el sentido de la escuela como institución formadora de una ciudadanía crítica y reflexiva.</w:t>
      </w:r>
    </w:p>
    <w:p w14:paraId="5C8B183A" w14:textId="77777777" w:rsidR="009532A5" w:rsidRDefault="009532A5">
      <w:pPr>
        <w:pBdr>
          <w:top w:val="nil"/>
          <w:left w:val="nil"/>
          <w:bottom w:val="nil"/>
          <w:right w:val="nil"/>
          <w:between w:val="nil"/>
        </w:pBdr>
        <w:spacing w:after="0"/>
        <w:jc w:val="both"/>
        <w:rPr>
          <w:rFonts w:ascii="Arial" w:eastAsia="Arial" w:hAnsi="Arial" w:cs="Arial"/>
          <w:b/>
          <w:color w:val="000000"/>
        </w:rPr>
      </w:pPr>
    </w:p>
    <w:p w14:paraId="5F2D5890" w14:textId="77777777" w:rsidR="009532A5" w:rsidRDefault="00000000">
      <w:pPr>
        <w:pBdr>
          <w:top w:val="nil"/>
          <w:left w:val="nil"/>
          <w:bottom w:val="nil"/>
          <w:right w:val="nil"/>
          <w:between w:val="nil"/>
        </w:pBdr>
        <w:spacing w:after="0"/>
        <w:jc w:val="both"/>
        <w:rPr>
          <w:rFonts w:ascii="Arial" w:eastAsia="Arial" w:hAnsi="Arial" w:cs="Arial"/>
          <w:b/>
          <w:color w:val="000000"/>
        </w:rPr>
      </w:pPr>
      <w:r>
        <w:rPr>
          <w:rFonts w:ascii="Arial" w:eastAsia="Arial" w:hAnsi="Arial" w:cs="Arial"/>
          <w:b/>
          <w:color w:val="000000"/>
        </w:rPr>
        <w:t xml:space="preserve">CONCLUSIONES </w:t>
      </w:r>
    </w:p>
    <w:p w14:paraId="69AB70F0" w14:textId="77777777" w:rsidR="009532A5" w:rsidRDefault="00000000">
      <w:pPr>
        <w:spacing w:before="48" w:after="0"/>
        <w:jc w:val="both"/>
        <w:rPr>
          <w:rFonts w:ascii="Arial" w:eastAsia="Arial" w:hAnsi="Arial" w:cs="Arial"/>
          <w:color w:val="000000"/>
          <w:highlight w:val="white"/>
        </w:rPr>
      </w:pPr>
      <w:r>
        <w:rPr>
          <w:rFonts w:ascii="Arial" w:eastAsia="Arial" w:hAnsi="Arial" w:cs="Arial"/>
          <w:color w:val="000000"/>
          <w:highlight w:val="white"/>
        </w:rPr>
        <w:t xml:space="preserve">Los hallazgos refuerzan la idea de que la escuela contemporánea está atrapada en una tensión estructural: por un lado, responde a una sociedad que valora la eficiencia, la velocidad y el rendimiento; por otro, necesita generar espacios que permitan la reflexión profunda, la contención emocional y el aprendizaje con sentido. </w:t>
      </w:r>
    </w:p>
    <w:p w14:paraId="7118A537" w14:textId="77777777" w:rsidR="009532A5" w:rsidRDefault="00000000">
      <w:pPr>
        <w:spacing w:before="48" w:after="0"/>
        <w:jc w:val="both"/>
        <w:rPr>
          <w:rFonts w:ascii="Arial" w:eastAsia="Arial" w:hAnsi="Arial" w:cs="Arial"/>
          <w:color w:val="000000"/>
          <w:highlight w:val="white"/>
        </w:rPr>
      </w:pPr>
      <w:r>
        <w:rPr>
          <w:rFonts w:ascii="Arial" w:eastAsia="Arial" w:hAnsi="Arial" w:cs="Arial"/>
          <w:color w:val="000000"/>
          <w:highlight w:val="white"/>
        </w:rPr>
        <w:t xml:space="preserve">El cuerpo docente no solo detecta con claridad los desafíos culturales actuales, sino que posee un diagnóstico lúcido, propositivo y comprometido sobre el estado del sistema educativo. Las respuestas evidencian una tensión creciente entre las prácticas escolares tradicionales y las transformaciones culturales contemporáneas, así como una demanda </w:t>
      </w:r>
      <w:r>
        <w:rPr>
          <w:rFonts w:ascii="Arial" w:eastAsia="Arial" w:hAnsi="Arial" w:cs="Arial"/>
          <w:color w:val="000000"/>
          <w:highlight w:val="white"/>
        </w:rPr>
        <w:lastRenderedPageBreak/>
        <w:t>persistente por humanizar, desacelerar y pensar la educación con otros tiempos y sentidos. El desafío no es solo pedagógico, sino político y cultural. Apostar por una educación crítica, sensible e inclusiva implica darle tiempo, palabra y condiciones reales al pensamiento pedagógico de quienes sostienen la escuela desde su tarea cotidiana.</w:t>
      </w:r>
    </w:p>
    <w:p w14:paraId="59871CC0" w14:textId="77777777" w:rsidR="009532A5" w:rsidRDefault="00000000">
      <w:pPr>
        <w:spacing w:before="48" w:after="0"/>
        <w:jc w:val="both"/>
        <w:rPr>
          <w:rFonts w:ascii="Arial" w:eastAsia="Arial" w:hAnsi="Arial" w:cs="Arial"/>
          <w:color w:val="000000"/>
          <w:highlight w:val="white"/>
        </w:rPr>
      </w:pPr>
      <w:r>
        <w:rPr>
          <w:rFonts w:ascii="Arial" w:eastAsia="Arial" w:hAnsi="Arial" w:cs="Arial"/>
          <w:highlight w:val="white"/>
        </w:rPr>
        <w:t>A partir de este trabajo se plantea un nuevo interrogante</w:t>
      </w:r>
      <w:r>
        <w:rPr>
          <w:rFonts w:ascii="Arial" w:eastAsia="Arial" w:hAnsi="Arial" w:cs="Arial"/>
          <w:color w:val="000000"/>
          <w:highlight w:val="white"/>
        </w:rPr>
        <w:t xml:space="preserve">: ¿puede la misma tecnología que fragmenta la atención y acelera los ritmos, ser utilizada de un modo diferente, orientado a generar pausas, gestionar mejor el tiempo y conciliar el trabajo académico con la vida personal? Esta pregunta abre un horizonte de reflexión: uno que priorice el uso consciente de herramientas digitales, aplicaciones de gestión del tiempo y entornos de aprendizaje que respeten los procesos y tiempos </w:t>
      </w:r>
      <w:r>
        <w:rPr>
          <w:rFonts w:ascii="Arial" w:eastAsia="Arial" w:hAnsi="Arial" w:cs="Arial"/>
          <w:highlight w:val="white"/>
        </w:rPr>
        <w:t>propios del mismo, los cuales, podrían</w:t>
      </w:r>
      <w:r>
        <w:rPr>
          <w:rFonts w:ascii="Arial" w:eastAsia="Arial" w:hAnsi="Arial" w:cs="Arial"/>
          <w:color w:val="000000"/>
          <w:highlight w:val="white"/>
        </w:rPr>
        <w:t xml:space="preserve"> ser, paradójicamente, </w:t>
      </w:r>
      <w:r>
        <w:rPr>
          <w:rFonts w:ascii="Arial" w:eastAsia="Arial" w:hAnsi="Arial" w:cs="Arial"/>
          <w:highlight w:val="white"/>
        </w:rPr>
        <w:t>aliados</w:t>
      </w:r>
      <w:r>
        <w:rPr>
          <w:rFonts w:ascii="Arial" w:eastAsia="Arial" w:hAnsi="Arial" w:cs="Arial"/>
          <w:color w:val="000000"/>
          <w:highlight w:val="white"/>
        </w:rPr>
        <w:t xml:space="preserve"> para desconectar de la exigencia y reconectar con lo humano.</w:t>
      </w:r>
    </w:p>
    <w:p w14:paraId="2F66CFA3" w14:textId="77777777" w:rsidR="009532A5" w:rsidRDefault="00000000">
      <w:pPr>
        <w:spacing w:before="48" w:after="0"/>
        <w:jc w:val="both"/>
        <w:rPr>
          <w:rFonts w:ascii="Arial" w:eastAsia="Arial" w:hAnsi="Arial" w:cs="Arial"/>
          <w:color w:val="000000"/>
          <w:highlight w:val="white"/>
        </w:rPr>
      </w:pPr>
      <w:r>
        <w:rPr>
          <w:rFonts w:ascii="Arial" w:eastAsia="Arial" w:hAnsi="Arial" w:cs="Arial"/>
          <w:color w:val="000000"/>
          <w:highlight w:val="white"/>
        </w:rPr>
        <w:t xml:space="preserve">En este sentido, la educación debería avanzar hacia modelos pedagógicos que integren críticamente la tecnología, no solo como instrumento de productividad, sino como recurso para la autorregulación, el equilibrio emocional y la construcción de vínculos significativos. </w:t>
      </w:r>
    </w:p>
    <w:p w14:paraId="16386A8C" w14:textId="77777777" w:rsidR="009532A5" w:rsidRDefault="00000000">
      <w:pPr>
        <w:spacing w:before="48" w:after="0"/>
        <w:jc w:val="both"/>
        <w:rPr>
          <w:rFonts w:ascii="Arial" w:eastAsia="Arial" w:hAnsi="Arial" w:cs="Arial"/>
          <w:color w:val="000000"/>
          <w:highlight w:val="white"/>
        </w:rPr>
      </w:pPr>
      <w:r>
        <w:rPr>
          <w:rFonts w:ascii="Arial" w:eastAsia="Arial" w:hAnsi="Arial" w:cs="Arial"/>
          <w:color w:val="000000"/>
          <w:highlight w:val="white"/>
        </w:rPr>
        <w:t>Este cambio requiere políticas institucionales y prácticas docentes que revaloricen la contemplación y el tiempo personal como condiciones esenciales de una educación integral.</w:t>
      </w:r>
    </w:p>
    <w:p w14:paraId="0D5C3788" w14:textId="77777777" w:rsidR="009532A5" w:rsidRDefault="009532A5">
      <w:pPr>
        <w:spacing w:before="48" w:after="0"/>
        <w:jc w:val="both"/>
        <w:rPr>
          <w:rFonts w:ascii="Arial" w:eastAsia="Arial" w:hAnsi="Arial" w:cs="Arial"/>
        </w:rPr>
      </w:pPr>
    </w:p>
    <w:p w14:paraId="25CB1880" w14:textId="77777777" w:rsidR="009532A5" w:rsidRDefault="00000000">
      <w:pPr>
        <w:pBdr>
          <w:top w:val="nil"/>
          <w:left w:val="nil"/>
          <w:bottom w:val="nil"/>
          <w:right w:val="nil"/>
          <w:between w:val="nil"/>
        </w:pBdr>
        <w:spacing w:after="0"/>
        <w:jc w:val="both"/>
        <w:rPr>
          <w:rFonts w:ascii="Arial" w:eastAsia="Arial" w:hAnsi="Arial" w:cs="Arial"/>
          <w:b/>
          <w:color w:val="000000"/>
        </w:rPr>
      </w:pPr>
      <w:r>
        <w:rPr>
          <w:rFonts w:ascii="Arial" w:eastAsia="Arial" w:hAnsi="Arial" w:cs="Arial"/>
          <w:b/>
          <w:color w:val="000000"/>
        </w:rPr>
        <w:t>REFERENCIAS BIBLIOGRÁFICAS</w:t>
      </w:r>
    </w:p>
    <w:p w14:paraId="7B77B3E6" w14:textId="77777777" w:rsidR="009532A5" w:rsidRDefault="00000000">
      <w:pPr>
        <w:pBdr>
          <w:top w:val="nil"/>
          <w:left w:val="nil"/>
          <w:bottom w:val="nil"/>
          <w:right w:val="nil"/>
          <w:between w:val="nil"/>
        </w:pBdr>
        <w:spacing w:after="60"/>
        <w:ind w:left="454" w:hanging="454"/>
        <w:jc w:val="both"/>
        <w:rPr>
          <w:rFonts w:ascii="Arial" w:eastAsia="Arial" w:hAnsi="Arial" w:cs="Arial"/>
          <w:color w:val="000000"/>
        </w:rPr>
      </w:pPr>
      <w:r>
        <w:rPr>
          <w:rFonts w:ascii="Arial" w:eastAsia="Arial" w:hAnsi="Arial" w:cs="Arial"/>
          <w:color w:val="000000"/>
        </w:rPr>
        <w:t xml:space="preserve">Han, B.-C. (2014). </w:t>
      </w:r>
      <w:r>
        <w:rPr>
          <w:rFonts w:ascii="Arial" w:eastAsia="Arial" w:hAnsi="Arial" w:cs="Arial"/>
          <w:i/>
          <w:color w:val="000000"/>
        </w:rPr>
        <w:t>Psicopolítica: Neoliberalismo y nuevas técnicas de poder</w:t>
      </w:r>
      <w:r>
        <w:rPr>
          <w:rFonts w:ascii="Arial" w:eastAsia="Arial" w:hAnsi="Arial" w:cs="Arial"/>
          <w:color w:val="000000"/>
        </w:rPr>
        <w:t>. Herder.</w:t>
      </w:r>
    </w:p>
    <w:p w14:paraId="3A3D70BF" w14:textId="77777777" w:rsidR="009532A5" w:rsidRDefault="00000000">
      <w:pPr>
        <w:pBdr>
          <w:top w:val="nil"/>
          <w:left w:val="nil"/>
          <w:bottom w:val="nil"/>
          <w:right w:val="nil"/>
          <w:between w:val="nil"/>
        </w:pBdr>
        <w:spacing w:after="60"/>
        <w:ind w:left="454" w:hanging="454"/>
        <w:jc w:val="both"/>
        <w:rPr>
          <w:rFonts w:ascii="Arial" w:eastAsia="Arial" w:hAnsi="Arial" w:cs="Arial"/>
        </w:rPr>
      </w:pPr>
      <w:r>
        <w:rPr>
          <w:rFonts w:ascii="Arial" w:eastAsia="Arial" w:hAnsi="Arial" w:cs="Arial"/>
        </w:rPr>
        <w:t xml:space="preserve">Han, B. C. (2017). </w:t>
      </w:r>
      <w:r>
        <w:rPr>
          <w:rFonts w:ascii="Arial" w:eastAsia="Arial" w:hAnsi="Arial" w:cs="Arial"/>
          <w:i/>
        </w:rPr>
        <w:t>La sociedad del cansancio</w:t>
      </w:r>
      <w:r>
        <w:rPr>
          <w:rFonts w:ascii="Arial" w:eastAsia="Arial" w:hAnsi="Arial" w:cs="Arial"/>
        </w:rPr>
        <w:t>. Editorial Herder.</w:t>
      </w:r>
    </w:p>
    <w:p w14:paraId="621B2255" w14:textId="77777777" w:rsidR="009532A5" w:rsidRDefault="00000000">
      <w:pPr>
        <w:pBdr>
          <w:top w:val="nil"/>
          <w:left w:val="nil"/>
          <w:bottom w:val="nil"/>
          <w:right w:val="nil"/>
          <w:between w:val="nil"/>
        </w:pBdr>
        <w:spacing w:after="60"/>
        <w:ind w:left="454" w:hanging="454"/>
        <w:jc w:val="both"/>
        <w:rPr>
          <w:rFonts w:ascii="Arial" w:eastAsia="Arial" w:hAnsi="Arial" w:cs="Arial"/>
        </w:rPr>
      </w:pPr>
      <w:r>
        <w:rPr>
          <w:rFonts w:ascii="Arial" w:eastAsia="Arial" w:hAnsi="Arial" w:cs="Arial"/>
        </w:rPr>
        <w:t xml:space="preserve">Han, B. C. (2019). </w:t>
      </w:r>
      <w:r>
        <w:rPr>
          <w:rFonts w:ascii="Arial" w:eastAsia="Arial" w:hAnsi="Arial" w:cs="Arial"/>
          <w:i/>
        </w:rPr>
        <w:t>La sociedad de la transparencia</w:t>
      </w:r>
      <w:r>
        <w:rPr>
          <w:rFonts w:ascii="Arial" w:eastAsia="Arial" w:hAnsi="Arial" w:cs="Arial"/>
        </w:rPr>
        <w:t>. Herder Editorial.</w:t>
      </w:r>
    </w:p>
    <w:p w14:paraId="4600F3A4" w14:textId="77777777" w:rsidR="009532A5" w:rsidRDefault="00000000">
      <w:pPr>
        <w:pBdr>
          <w:top w:val="nil"/>
          <w:left w:val="nil"/>
          <w:bottom w:val="nil"/>
          <w:right w:val="nil"/>
          <w:between w:val="nil"/>
        </w:pBdr>
        <w:spacing w:after="60"/>
        <w:ind w:left="454" w:hanging="454"/>
        <w:jc w:val="both"/>
        <w:rPr>
          <w:rFonts w:ascii="Times New Roman" w:eastAsia="Times New Roman" w:hAnsi="Times New Roman" w:cs="Times New Roman"/>
          <w:sz w:val="24"/>
          <w:szCs w:val="24"/>
        </w:rPr>
      </w:pPr>
      <w:r>
        <w:rPr>
          <w:rFonts w:ascii="Arial" w:eastAsia="Arial" w:hAnsi="Arial" w:cs="Arial"/>
        </w:rPr>
        <w:t xml:space="preserve">Han, B.-C. (2024). </w:t>
      </w:r>
      <w:r>
        <w:rPr>
          <w:rFonts w:ascii="Arial" w:eastAsia="Arial" w:hAnsi="Arial" w:cs="Arial"/>
          <w:i/>
        </w:rPr>
        <w:t>El espíritu de la esperanza</w:t>
      </w:r>
      <w:r>
        <w:rPr>
          <w:rFonts w:ascii="Arial" w:eastAsia="Arial" w:hAnsi="Arial" w:cs="Arial"/>
        </w:rPr>
        <w:t>. Herder.</w:t>
      </w:r>
    </w:p>
    <w:p w14:paraId="2D8FAF79" w14:textId="77777777" w:rsidR="009532A5" w:rsidRDefault="009532A5">
      <w:pPr>
        <w:pBdr>
          <w:top w:val="nil"/>
          <w:left w:val="nil"/>
          <w:bottom w:val="nil"/>
          <w:right w:val="nil"/>
          <w:between w:val="nil"/>
        </w:pBdr>
        <w:spacing w:after="60"/>
        <w:ind w:left="454" w:hanging="454"/>
        <w:jc w:val="both"/>
        <w:rPr>
          <w:rFonts w:ascii="Arial" w:eastAsia="Arial" w:hAnsi="Arial" w:cs="Arial"/>
        </w:rPr>
      </w:pPr>
    </w:p>
    <w:sectPr w:rsidR="009532A5">
      <w:headerReference w:type="even" r:id="rId11"/>
      <w:headerReference w:type="default" r:id="rId12"/>
      <w:footerReference w:type="even" r:id="rId13"/>
      <w:footerReference w:type="default" r:id="rId14"/>
      <w:headerReference w:type="first" r:id="rId15"/>
      <w:footerReference w:type="first" r:id="rId16"/>
      <w:pgSz w:w="11906" w:h="16838"/>
      <w:pgMar w:top="2268" w:right="1558"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62D24" w14:textId="77777777" w:rsidR="00944E27" w:rsidRDefault="00944E27">
      <w:pPr>
        <w:spacing w:after="0"/>
      </w:pPr>
      <w:r>
        <w:separator/>
      </w:r>
    </w:p>
  </w:endnote>
  <w:endnote w:type="continuationSeparator" w:id="0">
    <w:p w14:paraId="1C50E3FD" w14:textId="77777777" w:rsidR="00944E27" w:rsidRDefault="00944E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oppins">
    <w:charset w:val="00"/>
    <w:family w:val="auto"/>
    <w:pitch w:val="variable"/>
    <w:sig w:usb0="00008007" w:usb1="00000000" w:usb2="00000000" w:usb3="00000000" w:csb0="00000093" w:csb1="00000000"/>
    <w:embedRegular r:id="rId1" w:fontKey="{3110CAA6-81E6-4103-B83B-DE05BD22F171}"/>
    <w:embedBold r:id="rId2" w:fontKey="{7242F40F-46D1-4BE8-B147-CD33492FC058}"/>
    <w:embedItalic r:id="rId3" w:fontKey="{157A03A7-FFF7-4549-ADE2-CF4CE386B39F}"/>
  </w:font>
  <w:font w:name="Poppins ExtraBold">
    <w:charset w:val="00"/>
    <w:family w:val="auto"/>
    <w:pitch w:val="variable"/>
    <w:sig w:usb0="00008007" w:usb1="00000000" w:usb2="00000000" w:usb3="00000000" w:csb0="00000093" w:csb1="00000000"/>
    <w:embedRegular r:id="rId4" w:fontKey="{6593977E-DE26-4E5E-9EEA-2E778CC3334B}"/>
    <w:embedBold r:id="rId5" w:fontKey="{E46501F3-3BD0-4855-9396-E4B18BA78417}"/>
  </w:font>
  <w:font w:name="Poppins Medium">
    <w:charset w:val="00"/>
    <w:family w:val="auto"/>
    <w:pitch w:val="variable"/>
    <w:sig w:usb0="00008007" w:usb1="00000000" w:usb2="00000000" w:usb3="00000000" w:csb0="00000093" w:csb1="00000000"/>
    <w:embedRegular r:id="rId6" w:fontKey="{0330D918-962C-4073-8D3E-A5DDE584663E}"/>
    <w:embedBold r:id="rId7" w:fontKey="{95BBA97F-19F0-4B13-9BE2-FA0AABA3079B}"/>
  </w:font>
  <w:font w:name="Calibri">
    <w:panose1 w:val="020F0502020204030204"/>
    <w:charset w:val="00"/>
    <w:family w:val="swiss"/>
    <w:pitch w:val="variable"/>
    <w:sig w:usb0="E4002EFF" w:usb1="C000247B" w:usb2="00000009" w:usb3="00000000" w:csb0="000001FF" w:csb1="00000000"/>
    <w:embedRegular r:id="rId8" w:fontKey="{3DD43CD5-A6CA-4C11-A355-AE80F7575753}"/>
    <w:embedBold r:id="rId9" w:fontKey="{D4F5F6B7-5376-4215-B337-799C06BAA492}"/>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0" w:fontKey="{02B337C3-FEFA-403B-ADBE-D8C0F8006F3E}"/>
    <w:embedItalic r:id="rId11" w:fontKey="{BAD3E65B-0FAB-4611-B06B-EC28465E4C78}"/>
  </w:font>
  <w:font w:name="Calibri Light">
    <w:panose1 w:val="020F0302020204030204"/>
    <w:charset w:val="00"/>
    <w:family w:val="swiss"/>
    <w:pitch w:val="variable"/>
    <w:sig w:usb0="E4002EFF" w:usb1="C000247B" w:usb2="00000009" w:usb3="00000000" w:csb0="000001FF" w:csb1="00000000"/>
    <w:embedRegular r:id="rId12" w:fontKey="{52EE51D3-4652-4525-8805-D4108AADA61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35197" w14:textId="77777777" w:rsidR="009532A5" w:rsidRDefault="009532A5">
    <w:pPr>
      <w:pBdr>
        <w:top w:val="nil"/>
        <w:left w:val="nil"/>
        <w:bottom w:val="nil"/>
        <w:right w:val="nil"/>
        <w:between w:val="nil"/>
      </w:pBdr>
      <w:tabs>
        <w:tab w:val="center" w:pos="4419"/>
        <w:tab w:val="right" w:pos="8838"/>
      </w:tabs>
      <w:spacing w:after="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FE4A0" w14:textId="77777777" w:rsidR="009532A5" w:rsidRDefault="00000000">
    <w:pPr>
      <w:pBdr>
        <w:top w:val="nil"/>
        <w:left w:val="nil"/>
        <w:bottom w:val="nil"/>
        <w:right w:val="nil"/>
        <w:between w:val="nil"/>
      </w:pBdr>
      <w:tabs>
        <w:tab w:val="center" w:pos="4419"/>
        <w:tab w:val="right" w:pos="8838"/>
      </w:tabs>
      <w:spacing w:after="0"/>
      <w:ind w:right="-285"/>
      <w:jc w:val="right"/>
      <w:rPr>
        <w:color w:val="000000"/>
      </w:rPr>
    </w:pPr>
    <w:r>
      <w:rPr>
        <w:color w:val="000000"/>
        <w:highlight w:val="white"/>
      </w:rPr>
      <w:t xml:space="preserve">   Requisitos para el Trabajo extendido </w:t>
    </w:r>
    <w:r>
      <w:rPr>
        <w:color w:val="000000"/>
      </w:rPr>
      <w:t>-</w:t>
    </w:r>
    <w:r>
      <w:rPr>
        <w:b/>
        <w:color w:val="000000"/>
      </w:rPr>
      <w:t xml:space="preserve"> </w:t>
    </w:r>
    <w:r>
      <w:rPr>
        <w:b/>
        <w:color w:val="000000"/>
      </w:rPr>
      <w:fldChar w:fldCharType="begin"/>
    </w:r>
    <w:r>
      <w:rPr>
        <w:b/>
        <w:color w:val="000000"/>
      </w:rPr>
      <w:instrText>PAGE</w:instrText>
    </w:r>
    <w:r>
      <w:rPr>
        <w:b/>
        <w:color w:val="000000"/>
      </w:rPr>
      <w:fldChar w:fldCharType="separate"/>
    </w:r>
    <w:r w:rsidR="00A106DC">
      <w:rPr>
        <w:b/>
        <w:noProof/>
        <w:color w:val="000000"/>
      </w:rPr>
      <w:t>1</w:t>
    </w:r>
    <w:r>
      <w:rPr>
        <w:b/>
        <w:color w:val="000000"/>
      </w:rPr>
      <w:fldChar w:fldCharType="end"/>
    </w:r>
    <w:r>
      <w:rPr>
        <w:noProof/>
      </w:rPr>
      <w:drawing>
        <wp:anchor distT="0" distB="0" distL="0" distR="0" simplePos="0" relativeHeight="251659264" behindDoc="1" locked="0" layoutInCell="1" hidden="0" allowOverlap="1" wp14:anchorId="73A16FAE" wp14:editId="134663B8">
          <wp:simplePos x="0" y="0"/>
          <wp:positionH relativeFrom="column">
            <wp:posOffset>-165733</wp:posOffset>
          </wp:positionH>
          <wp:positionV relativeFrom="paragraph">
            <wp:posOffset>45085</wp:posOffset>
          </wp:positionV>
          <wp:extent cx="5534025" cy="140335"/>
          <wp:effectExtent l="0" t="0" r="0" b="0"/>
          <wp:wrapNone/>
          <wp:docPr id="2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50789" w14:textId="77777777" w:rsidR="009532A5" w:rsidRDefault="009532A5">
    <w:pPr>
      <w:pBdr>
        <w:top w:val="nil"/>
        <w:left w:val="nil"/>
        <w:bottom w:val="nil"/>
        <w:right w:val="nil"/>
        <w:between w:val="nil"/>
      </w:pBdr>
      <w:tabs>
        <w:tab w:val="center" w:pos="4419"/>
        <w:tab w:val="right" w:pos="8838"/>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5709D" w14:textId="77777777" w:rsidR="00944E27" w:rsidRDefault="00944E27">
      <w:pPr>
        <w:spacing w:after="0"/>
      </w:pPr>
      <w:r>
        <w:separator/>
      </w:r>
    </w:p>
  </w:footnote>
  <w:footnote w:type="continuationSeparator" w:id="0">
    <w:p w14:paraId="02F1F4DD" w14:textId="77777777" w:rsidR="00944E27" w:rsidRDefault="00944E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A65A2" w14:textId="77777777" w:rsidR="009532A5" w:rsidRDefault="009532A5">
    <w:pPr>
      <w:pBdr>
        <w:top w:val="nil"/>
        <w:left w:val="nil"/>
        <w:bottom w:val="nil"/>
        <w:right w:val="nil"/>
        <w:between w:val="nil"/>
      </w:pBdr>
      <w:tabs>
        <w:tab w:val="center" w:pos="4419"/>
        <w:tab w:val="right" w:pos="8838"/>
      </w:tabs>
      <w:spacing w:after="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CBB2" w14:textId="77777777" w:rsidR="009532A5" w:rsidRDefault="00000000">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58240" behindDoc="0" locked="0" layoutInCell="1" hidden="0" allowOverlap="1" wp14:anchorId="3F3AC9CD" wp14:editId="4D5C93DD">
          <wp:simplePos x="0" y="0"/>
          <wp:positionH relativeFrom="column">
            <wp:posOffset>-838199</wp:posOffset>
          </wp:positionH>
          <wp:positionV relativeFrom="paragraph">
            <wp:posOffset>-250189</wp:posOffset>
          </wp:positionV>
          <wp:extent cx="1476375" cy="704867"/>
          <wp:effectExtent l="0" t="0" r="0" b="0"/>
          <wp:wrapNone/>
          <wp:docPr id="214" name="image1.jpg" descr="C:\Users\UV-LUCIANA\AppData\Local\Microsoft\Windows\INetCache\Content.Word\anuncio cambio de fecha-29.jpg"/>
          <wp:cNvGraphicFramePr/>
          <a:graphic xmlns:a="http://schemas.openxmlformats.org/drawingml/2006/main">
            <a:graphicData uri="http://schemas.openxmlformats.org/drawingml/2006/picture">
              <pic:pic xmlns:pic="http://schemas.openxmlformats.org/drawingml/2006/picture">
                <pic:nvPicPr>
                  <pic:cNvPr id="0" name="image1.jpg" descr="C:\Users\UV-LUCIANA\AppData\Local\Microsoft\Windows\INetCache\Content.Word\anuncio cambio de fecha-29.jpg"/>
                  <pic:cNvPicPr preferRelativeResize="0"/>
                </pic:nvPicPr>
                <pic:blipFill>
                  <a:blip r:embed="rId1"/>
                  <a:srcRect/>
                  <a:stretch>
                    <a:fillRect/>
                  </a:stretch>
                </pic:blipFill>
                <pic:spPr>
                  <a:xfrm>
                    <a:off x="0" y="0"/>
                    <a:ext cx="1476375" cy="704867"/>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5B74C" w14:textId="77777777" w:rsidR="009532A5" w:rsidRDefault="009532A5">
    <w:pPr>
      <w:pBdr>
        <w:top w:val="nil"/>
        <w:left w:val="nil"/>
        <w:bottom w:val="nil"/>
        <w:right w:val="nil"/>
        <w:between w:val="nil"/>
      </w:pBdr>
      <w:tabs>
        <w:tab w:val="center" w:pos="4419"/>
        <w:tab w:val="right" w:pos="8838"/>
      </w:tabs>
      <w:spacing w:after="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305D8"/>
    <w:multiLevelType w:val="multilevel"/>
    <w:tmpl w:val="9C32A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AC460E"/>
    <w:multiLevelType w:val="multilevel"/>
    <w:tmpl w:val="990CE4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2847195">
    <w:abstractNumId w:val="0"/>
  </w:num>
  <w:num w:numId="2" w16cid:durableId="934006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2A5"/>
    <w:rsid w:val="00944E27"/>
    <w:rsid w:val="009532A5"/>
    <w:rsid w:val="00A106DC"/>
    <w:rsid w:val="00BA531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933E8"/>
  <w15:docId w15:val="{4E0780BF-DE10-4DCA-A4F5-C20C2D69B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oppins" w:eastAsia="Poppins" w:hAnsi="Poppins" w:cs="Poppins"/>
        <w:sz w:val="22"/>
        <w:szCs w:val="22"/>
        <w:lang w:val="es-419" w:eastAsia="es-419"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before="480" w:after="360" w:line="400" w:lineRule="auto"/>
      <w:outlineLvl w:val="0"/>
    </w:pPr>
    <w:rPr>
      <w:rFonts w:ascii="Poppins ExtraBold" w:eastAsia="Poppins ExtraBold" w:hAnsi="Poppins ExtraBold" w:cs="Poppins ExtraBold"/>
      <w:b/>
      <w:color w:val="0070C0"/>
      <w:sz w:val="36"/>
      <w:szCs w:val="36"/>
    </w:rPr>
  </w:style>
  <w:style w:type="paragraph" w:styleId="Ttulo2">
    <w:name w:val="heading 2"/>
    <w:basedOn w:val="Normal"/>
    <w:next w:val="Normal"/>
    <w:uiPriority w:val="9"/>
    <w:semiHidden/>
    <w:unhideWhenUsed/>
    <w:qFormat/>
    <w:pPr>
      <w:pBdr>
        <w:bottom w:val="single" w:sz="4" w:space="1" w:color="92D050"/>
      </w:pBdr>
      <w:spacing w:before="240"/>
      <w:outlineLvl w:val="1"/>
    </w:pPr>
    <w:rPr>
      <w:rFonts w:ascii="Poppins Medium" w:eastAsia="Poppins Medium" w:hAnsi="Poppins Medium" w:cs="Poppins Medium"/>
      <w:b/>
      <w:color w:val="0070C0"/>
      <w:sz w:val="28"/>
      <w:szCs w:val="28"/>
    </w:rPr>
  </w:style>
  <w:style w:type="paragraph" w:styleId="Ttulo3">
    <w:name w:val="heading 3"/>
    <w:basedOn w:val="Normal"/>
    <w:next w:val="Normal"/>
    <w:uiPriority w:val="9"/>
    <w:semiHidden/>
    <w:unhideWhenUsed/>
    <w:qFormat/>
    <w:pPr>
      <w:keepNext/>
      <w:keepLines/>
      <w:spacing w:before="40"/>
      <w:outlineLvl w:val="2"/>
    </w:pPr>
    <w:rPr>
      <w:rFonts w:ascii="Poppins ExtraBold" w:eastAsia="Poppins ExtraBold" w:hAnsi="Poppins ExtraBold" w:cs="Poppins ExtraBold"/>
      <w:color w:val="FF0066"/>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 w:type="character" w:styleId="Mencinsinresolver">
    <w:name w:val="Unresolved Mention"/>
    <w:basedOn w:val="Fuentedeprrafopredeter"/>
    <w:uiPriority w:val="99"/>
    <w:semiHidden/>
    <w:unhideWhenUsed/>
    <w:rsid w:val="00E71A3D"/>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1">
    <w:basedOn w:val="TableNormal0"/>
    <w:pPr>
      <w:spacing w:after="0"/>
    </w:pPr>
    <w:rPr>
      <w:rFonts w:ascii="Calibri" w:eastAsia="Calibri" w:hAnsi="Calibri" w:cs="Calibri"/>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jejbernat79@gmail.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analauragarces2011@gmail.com"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MsGlW5uvrgLTboFDcG5My3sGsA==">CgMxLjA4AHIhMTkxSjNBRGhxQXhQY3hibVpRSDVvUEV4R2xqNGZ5Y0Fs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1552</Words>
  <Characters>8541</Characters>
  <Application>Microsoft Office Word</Application>
  <DocSecurity>0</DocSecurity>
  <Lines>71</Lines>
  <Paragraphs>20</Paragraphs>
  <ScaleCrop>false</ScaleCrop>
  <Company/>
  <LinksUpToDate>false</LinksUpToDate>
  <CharactersWithSpaces>10073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Jorge Bernat</cp:lastModifiedBy>
  <cp:revision>2</cp:revision>
  <dcterms:created xsi:type="dcterms:W3CDTF">2025-07-25T23:18:00Z</dcterms:created>
  <dcterms:modified xsi:type="dcterms:W3CDTF">2025-07-25T23:18:00Z</dcterms:modified>
</cp:coreProperties>
</file>