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1"/>
        <w:tblW w:w="850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504"/>
      </w:tblGrid>
      <w:tr w:rsidR="00593A21" w:rsidRPr="00912725" w14:paraId="637D92CE" w14:textId="77777777">
        <w:tc>
          <w:tcPr>
            <w:tcW w:w="8504" w:type="dxa"/>
            <w:tcBorders>
              <w:top w:val="single" w:sz="4" w:space="0" w:color="BFBFBF"/>
              <w:bottom w:val="single" w:sz="4" w:space="0" w:color="BFBFBF"/>
            </w:tcBorders>
            <w:tcMar>
              <w:top w:w="113" w:type="dxa"/>
              <w:bottom w:w="113" w:type="dxa"/>
            </w:tcMar>
          </w:tcPr>
          <w:p w14:paraId="54C34D69" w14:textId="77777777" w:rsidR="00593A21" w:rsidRPr="00F82631" w:rsidRDefault="00000000" w:rsidP="00F82631">
            <w:pPr>
              <w:pBdr>
                <w:top w:val="nil"/>
                <w:left w:val="nil"/>
                <w:bottom w:val="nil"/>
                <w:right w:val="nil"/>
                <w:between w:val="nil"/>
              </w:pBdr>
              <w:rPr>
                <w:rFonts w:ascii="Arial" w:eastAsia="Arial" w:hAnsi="Arial" w:cs="Arial"/>
                <w:b/>
                <w:color w:val="000000"/>
                <w:lang w:val="es-AR"/>
              </w:rPr>
            </w:pPr>
            <w:r w:rsidRPr="00F82631">
              <w:rPr>
                <w:rFonts w:ascii="Arial" w:eastAsia="Arial" w:hAnsi="Arial" w:cs="Arial"/>
                <w:b/>
                <w:color w:val="000000"/>
                <w:lang w:val="es-AR"/>
              </w:rPr>
              <w:t xml:space="preserve">Una experiencia </w:t>
            </w:r>
            <w:r w:rsidRPr="00F82631">
              <w:rPr>
                <w:rFonts w:ascii="Arial" w:eastAsia="Arial" w:hAnsi="Arial" w:cs="Arial"/>
                <w:b/>
                <w:lang w:val="es-AR"/>
              </w:rPr>
              <w:t>b</w:t>
            </w:r>
            <w:r w:rsidRPr="00F82631">
              <w:rPr>
                <w:rFonts w:ascii="Arial" w:eastAsia="Arial" w:hAnsi="Arial" w:cs="Arial"/>
                <w:b/>
                <w:color w:val="000000"/>
                <w:lang w:val="es-AR"/>
              </w:rPr>
              <w:t xml:space="preserve">imodal en </w:t>
            </w:r>
            <w:r w:rsidRPr="00F82631">
              <w:rPr>
                <w:rFonts w:ascii="Arial" w:eastAsia="Arial" w:hAnsi="Arial" w:cs="Arial"/>
                <w:b/>
                <w:lang w:val="es-AR"/>
              </w:rPr>
              <w:t>m</w:t>
            </w:r>
            <w:r w:rsidRPr="00F82631">
              <w:rPr>
                <w:rFonts w:ascii="Arial" w:eastAsia="Arial" w:hAnsi="Arial" w:cs="Arial"/>
                <w:b/>
                <w:color w:val="000000"/>
                <w:lang w:val="es-AR"/>
              </w:rPr>
              <w:t xml:space="preserve">icrobiología: </w:t>
            </w:r>
            <w:r w:rsidRPr="00F82631">
              <w:rPr>
                <w:rFonts w:ascii="Arial" w:eastAsia="Arial" w:hAnsi="Arial" w:cs="Arial"/>
                <w:b/>
                <w:lang w:val="es-AR"/>
              </w:rPr>
              <w:t>i</w:t>
            </w:r>
            <w:r w:rsidRPr="00F82631">
              <w:rPr>
                <w:rFonts w:ascii="Arial" w:eastAsia="Arial" w:hAnsi="Arial" w:cs="Arial"/>
                <w:b/>
                <w:color w:val="000000"/>
                <w:lang w:val="es-AR"/>
              </w:rPr>
              <w:t xml:space="preserve">ntegración de </w:t>
            </w:r>
            <w:r w:rsidRPr="00F82631">
              <w:rPr>
                <w:rFonts w:ascii="Arial" w:eastAsia="Arial" w:hAnsi="Arial" w:cs="Arial"/>
                <w:b/>
                <w:lang w:val="es-AR"/>
              </w:rPr>
              <w:t>s</w:t>
            </w:r>
            <w:r w:rsidRPr="00F82631">
              <w:rPr>
                <w:rFonts w:ascii="Arial" w:eastAsia="Arial" w:hAnsi="Arial" w:cs="Arial"/>
                <w:b/>
                <w:color w:val="000000"/>
                <w:lang w:val="es-AR"/>
              </w:rPr>
              <w:t xml:space="preserve">imulación virtual y </w:t>
            </w:r>
            <w:r w:rsidRPr="00F82631">
              <w:rPr>
                <w:rFonts w:ascii="Arial" w:eastAsia="Arial" w:hAnsi="Arial" w:cs="Arial"/>
                <w:b/>
                <w:lang w:val="es-AR"/>
              </w:rPr>
              <w:t>p</w:t>
            </w:r>
            <w:r w:rsidRPr="00F82631">
              <w:rPr>
                <w:rFonts w:ascii="Arial" w:eastAsia="Arial" w:hAnsi="Arial" w:cs="Arial"/>
                <w:b/>
                <w:color w:val="000000"/>
                <w:lang w:val="es-AR"/>
              </w:rPr>
              <w:t xml:space="preserve">rácticas </w:t>
            </w:r>
            <w:r w:rsidRPr="00F82631">
              <w:rPr>
                <w:rFonts w:ascii="Arial" w:eastAsia="Arial" w:hAnsi="Arial" w:cs="Arial"/>
                <w:b/>
                <w:lang w:val="es-AR"/>
              </w:rPr>
              <w:t>p</w:t>
            </w:r>
            <w:r w:rsidRPr="00F82631">
              <w:rPr>
                <w:rFonts w:ascii="Arial" w:eastAsia="Arial" w:hAnsi="Arial" w:cs="Arial"/>
                <w:b/>
                <w:color w:val="000000"/>
                <w:lang w:val="es-AR"/>
              </w:rPr>
              <w:t>resenciales en la Escuela de Nutrición</w:t>
            </w:r>
          </w:p>
        </w:tc>
      </w:tr>
      <w:tr w:rsidR="00593A21" w:rsidRPr="00912725" w14:paraId="4541B888" w14:textId="77777777">
        <w:tc>
          <w:tcPr>
            <w:tcW w:w="8504" w:type="dxa"/>
            <w:tcBorders>
              <w:top w:val="single" w:sz="4" w:space="0" w:color="BFBFBF"/>
              <w:bottom w:val="single" w:sz="4" w:space="0" w:color="BFBFBF"/>
            </w:tcBorders>
            <w:tcMar>
              <w:top w:w="113" w:type="dxa"/>
              <w:bottom w:w="113" w:type="dxa"/>
            </w:tcMar>
          </w:tcPr>
          <w:p w14:paraId="6375C49F" w14:textId="77777777" w:rsidR="00593A21" w:rsidRPr="00F82631" w:rsidRDefault="00000000" w:rsidP="00F82631">
            <w:pPr>
              <w:pBdr>
                <w:top w:val="nil"/>
                <w:left w:val="nil"/>
                <w:bottom w:val="nil"/>
                <w:right w:val="nil"/>
                <w:between w:val="nil"/>
              </w:pBdr>
              <w:rPr>
                <w:rFonts w:ascii="Arial" w:eastAsia="Arial" w:hAnsi="Arial" w:cs="Arial"/>
                <w:color w:val="000000"/>
                <w:lang w:val="es-AR"/>
              </w:rPr>
            </w:pPr>
            <w:r w:rsidRPr="00F82631">
              <w:rPr>
                <w:rFonts w:ascii="Arial" w:eastAsia="Arial" w:hAnsi="Arial" w:cs="Arial"/>
                <w:lang w:val="es-AR"/>
              </w:rPr>
              <w:t xml:space="preserve">María Lucía Baraquet, </w:t>
            </w:r>
            <w:hyperlink r:id="rId7">
              <w:r w:rsidRPr="00F82631">
                <w:rPr>
                  <w:rFonts w:ascii="Arial" w:eastAsia="Arial" w:hAnsi="Arial" w:cs="Arial"/>
                  <w:color w:val="1155CC"/>
                  <w:u w:val="single"/>
                  <w:lang w:val="es-AR"/>
                </w:rPr>
                <w:t>lucia.baraquet@unc.edu.ar</w:t>
              </w:r>
            </w:hyperlink>
            <w:r w:rsidRPr="00F82631">
              <w:rPr>
                <w:rFonts w:ascii="Arial" w:eastAsia="Arial" w:hAnsi="Arial" w:cs="Arial"/>
                <w:lang w:val="es-AR"/>
              </w:rPr>
              <w:t xml:space="preserve"> </w:t>
            </w:r>
          </w:p>
          <w:p w14:paraId="3804F528" w14:textId="77777777" w:rsidR="00593A21" w:rsidRPr="00F82631" w:rsidRDefault="00000000" w:rsidP="00F82631">
            <w:pPr>
              <w:pBdr>
                <w:top w:val="nil"/>
                <w:left w:val="nil"/>
                <w:bottom w:val="nil"/>
                <w:right w:val="nil"/>
                <w:between w:val="nil"/>
              </w:pBdr>
              <w:rPr>
                <w:rFonts w:ascii="Arial" w:eastAsia="Arial" w:hAnsi="Arial" w:cs="Arial"/>
                <w:lang w:val="es-AR"/>
              </w:rPr>
            </w:pPr>
            <w:r w:rsidRPr="00F82631">
              <w:rPr>
                <w:rFonts w:ascii="Arial" w:eastAsia="Arial" w:hAnsi="Arial" w:cs="Arial"/>
                <w:lang w:val="es-AR"/>
              </w:rPr>
              <w:t xml:space="preserve">María Laura Coluccini, </w:t>
            </w:r>
            <w:r w:rsidRPr="00F82631">
              <w:rPr>
                <w:rFonts w:ascii="Arial" w:eastAsia="Arial" w:hAnsi="Arial" w:cs="Arial"/>
                <w:color w:val="1155CC"/>
                <w:u w:val="single"/>
                <w:lang w:val="es-AR"/>
              </w:rPr>
              <w:t>laura.coluccini@unc.edu.ar</w:t>
            </w:r>
          </w:p>
          <w:p w14:paraId="2DE85641" w14:textId="77777777" w:rsidR="00593A21" w:rsidRPr="00F82631" w:rsidRDefault="00000000" w:rsidP="00F82631">
            <w:pPr>
              <w:pBdr>
                <w:top w:val="nil"/>
                <w:left w:val="nil"/>
                <w:bottom w:val="nil"/>
                <w:right w:val="nil"/>
                <w:between w:val="nil"/>
              </w:pBdr>
              <w:rPr>
                <w:rFonts w:ascii="Arial" w:eastAsia="Arial" w:hAnsi="Arial" w:cs="Arial"/>
                <w:lang w:val="es-AR"/>
              </w:rPr>
            </w:pPr>
            <w:r w:rsidRPr="00F82631">
              <w:rPr>
                <w:rFonts w:ascii="Arial" w:eastAsia="Arial" w:hAnsi="Arial" w:cs="Arial"/>
                <w:lang w:val="es-AR"/>
              </w:rPr>
              <w:t xml:space="preserve">María Georgina Oberto, </w:t>
            </w:r>
            <w:hyperlink r:id="rId8">
              <w:r w:rsidRPr="00F82631">
                <w:rPr>
                  <w:rFonts w:ascii="Arial" w:eastAsia="Arial" w:hAnsi="Arial" w:cs="Arial"/>
                  <w:color w:val="1155CC"/>
                  <w:u w:val="single"/>
                  <w:lang w:val="es-AR"/>
                </w:rPr>
                <w:t>georgina.oberto@unc.edu.ar</w:t>
              </w:r>
            </w:hyperlink>
          </w:p>
        </w:tc>
      </w:tr>
      <w:tr w:rsidR="00593A21" w:rsidRPr="00912725" w14:paraId="107C1F29" w14:textId="77777777">
        <w:tc>
          <w:tcPr>
            <w:tcW w:w="8504" w:type="dxa"/>
            <w:tcBorders>
              <w:top w:val="single" w:sz="4" w:space="0" w:color="BFBFBF"/>
              <w:bottom w:val="single" w:sz="4" w:space="0" w:color="BFBFBF"/>
            </w:tcBorders>
            <w:tcMar>
              <w:top w:w="113" w:type="dxa"/>
              <w:bottom w:w="113" w:type="dxa"/>
            </w:tcMar>
          </w:tcPr>
          <w:p w14:paraId="055106BC" w14:textId="77777777" w:rsidR="00593A21" w:rsidRPr="00F82631" w:rsidRDefault="00000000" w:rsidP="00F82631">
            <w:pPr>
              <w:pBdr>
                <w:top w:val="nil"/>
                <w:left w:val="nil"/>
                <w:bottom w:val="nil"/>
                <w:right w:val="nil"/>
                <w:between w:val="nil"/>
              </w:pBdr>
              <w:rPr>
                <w:rFonts w:ascii="Arial" w:eastAsia="Arial" w:hAnsi="Arial" w:cs="Arial"/>
                <w:color w:val="000000"/>
                <w:lang w:val="es-AR"/>
              </w:rPr>
            </w:pPr>
            <w:r w:rsidRPr="00F82631">
              <w:rPr>
                <w:rFonts w:ascii="Arial" w:eastAsia="Arial" w:hAnsi="Arial" w:cs="Arial"/>
                <w:lang w:val="es-AR"/>
              </w:rPr>
              <w:t>Cátedra Introducción a la microbiología y parasitología, Escuela de Nutrición, Facultad de Ciencias Médicas, Universidad Nacional de Córdoba</w:t>
            </w:r>
          </w:p>
        </w:tc>
      </w:tr>
      <w:tr w:rsidR="00593A21" w:rsidRPr="00912725" w14:paraId="32B6DF83" w14:textId="77777777">
        <w:tc>
          <w:tcPr>
            <w:tcW w:w="8504" w:type="dxa"/>
            <w:tcBorders>
              <w:top w:val="single" w:sz="4" w:space="0" w:color="BFBFBF"/>
              <w:bottom w:val="single" w:sz="4" w:space="0" w:color="BFBFBF"/>
            </w:tcBorders>
            <w:tcMar>
              <w:top w:w="113" w:type="dxa"/>
              <w:bottom w:w="113" w:type="dxa"/>
            </w:tcMar>
          </w:tcPr>
          <w:p w14:paraId="71F081F7" w14:textId="0C5B47F1" w:rsidR="00593A21" w:rsidRPr="00F82631" w:rsidRDefault="00000000" w:rsidP="00F82631">
            <w:pPr>
              <w:pBdr>
                <w:top w:val="nil"/>
                <w:left w:val="nil"/>
                <w:bottom w:val="nil"/>
                <w:right w:val="nil"/>
                <w:between w:val="nil"/>
              </w:pBdr>
              <w:rPr>
                <w:rFonts w:ascii="Arial" w:eastAsia="Arial" w:hAnsi="Arial" w:cs="Arial"/>
                <w:lang w:val="es-AR"/>
              </w:rPr>
            </w:pPr>
            <w:r w:rsidRPr="00F82631">
              <w:rPr>
                <w:rFonts w:ascii="Arial" w:eastAsia="Arial" w:hAnsi="Arial" w:cs="Arial"/>
                <w:color w:val="000000"/>
                <w:lang w:val="es-AR"/>
              </w:rPr>
              <w:t>EJE</w:t>
            </w:r>
            <w:r w:rsidR="00F82631" w:rsidRPr="00F82631">
              <w:rPr>
                <w:rFonts w:ascii="Arial" w:eastAsia="Arial" w:hAnsi="Arial" w:cs="Arial"/>
                <w:color w:val="000000"/>
                <w:lang w:val="es-AR"/>
              </w:rPr>
              <w:t xml:space="preserve"> 8</w:t>
            </w:r>
            <w:r w:rsidRPr="00F82631">
              <w:rPr>
                <w:rFonts w:ascii="Arial" w:eastAsia="Arial" w:hAnsi="Arial" w:cs="Arial"/>
                <w:lang w:val="es-AR"/>
              </w:rPr>
              <w:t>.</w:t>
            </w:r>
            <w:r w:rsidR="00F82631" w:rsidRPr="00F82631">
              <w:rPr>
                <w:rFonts w:ascii="Arial" w:eastAsia="Arial" w:hAnsi="Arial" w:cs="Arial"/>
                <w:lang w:val="es-AR"/>
              </w:rPr>
              <w:t xml:space="preserve"> </w:t>
            </w:r>
            <w:r w:rsidRPr="00F82631">
              <w:rPr>
                <w:rFonts w:ascii="Arial" w:eastAsia="Arial" w:hAnsi="Arial" w:cs="Arial"/>
                <w:color w:val="000000"/>
                <w:lang w:val="es-AR"/>
              </w:rPr>
              <w:t xml:space="preserve">Reflexiones en torno a la educación con tecnologías en las Ciencias de la </w:t>
            </w:r>
            <w:r w:rsidRPr="00F82631">
              <w:rPr>
                <w:rFonts w:ascii="Arial" w:eastAsia="Arial" w:hAnsi="Arial" w:cs="Arial"/>
                <w:lang w:val="es-AR"/>
              </w:rPr>
              <w:t>s</w:t>
            </w:r>
            <w:r w:rsidRPr="00F82631">
              <w:rPr>
                <w:rFonts w:ascii="Arial" w:eastAsia="Arial" w:hAnsi="Arial" w:cs="Arial"/>
                <w:color w:val="000000"/>
                <w:lang w:val="es-AR"/>
              </w:rPr>
              <w:t>alud.</w:t>
            </w:r>
          </w:p>
        </w:tc>
      </w:tr>
    </w:tbl>
    <w:p w14:paraId="2CA964F4" w14:textId="77777777" w:rsidR="00593A21" w:rsidRPr="00F82631" w:rsidRDefault="00593A21" w:rsidP="00F82631">
      <w:pPr>
        <w:spacing w:after="0"/>
        <w:rPr>
          <w:rFonts w:ascii="Arial" w:eastAsia="Arial" w:hAnsi="Arial" w:cs="Arial"/>
          <w:i/>
          <w:lang w:val="es-AR"/>
        </w:rPr>
      </w:pPr>
    </w:p>
    <w:p w14:paraId="7992BF9A" w14:textId="77777777" w:rsidR="00593A21" w:rsidRPr="00F82631" w:rsidRDefault="00000000" w:rsidP="00F82631">
      <w:pPr>
        <w:pBdr>
          <w:top w:val="nil"/>
          <w:left w:val="nil"/>
          <w:bottom w:val="nil"/>
          <w:right w:val="nil"/>
          <w:between w:val="nil"/>
        </w:pBdr>
        <w:spacing w:after="0"/>
        <w:rPr>
          <w:rFonts w:ascii="Arial" w:eastAsia="Arial" w:hAnsi="Arial" w:cs="Arial"/>
          <w:color w:val="000000"/>
          <w:lang w:val="es-AR"/>
        </w:rPr>
      </w:pPr>
      <w:r w:rsidRPr="00F82631">
        <w:rPr>
          <w:rFonts w:ascii="Arial" w:eastAsia="Arial" w:hAnsi="Arial" w:cs="Arial"/>
          <w:color w:val="000000"/>
          <w:lang w:val="es-AR"/>
        </w:rPr>
        <w:t>PALABRAS CLAVE: laboratorio virtual, educación bimodal, tecnologías educativas.</w:t>
      </w:r>
    </w:p>
    <w:p w14:paraId="0DCD646B" w14:textId="77777777" w:rsidR="00593A21" w:rsidRPr="00F82631" w:rsidRDefault="00593A21" w:rsidP="00F82631">
      <w:pPr>
        <w:spacing w:after="0"/>
        <w:rPr>
          <w:rFonts w:ascii="Arial" w:eastAsia="Arial" w:hAnsi="Arial" w:cs="Arial"/>
          <w:i/>
          <w:lang w:val="es-AR"/>
        </w:rPr>
      </w:pPr>
    </w:p>
    <w:p w14:paraId="1B921EE3" w14:textId="77777777" w:rsidR="00593A21" w:rsidRPr="00F82631" w:rsidRDefault="00000000" w:rsidP="00F82631">
      <w:pPr>
        <w:pBdr>
          <w:top w:val="nil"/>
          <w:left w:val="nil"/>
          <w:bottom w:val="nil"/>
          <w:right w:val="nil"/>
          <w:between w:val="nil"/>
        </w:pBdr>
        <w:spacing w:after="0"/>
        <w:rPr>
          <w:rFonts w:ascii="Arial" w:eastAsia="Arial" w:hAnsi="Arial" w:cs="Arial"/>
          <w:b/>
          <w:color w:val="000000"/>
          <w:lang w:val="es-AR"/>
        </w:rPr>
      </w:pPr>
      <w:r w:rsidRPr="00F82631">
        <w:rPr>
          <w:rFonts w:ascii="Arial" w:eastAsia="Arial" w:hAnsi="Arial" w:cs="Arial"/>
          <w:b/>
          <w:color w:val="000000"/>
          <w:lang w:val="es-AR"/>
        </w:rPr>
        <w:t>INTRODUCCIÓN</w:t>
      </w:r>
    </w:p>
    <w:p w14:paraId="4FB79EEA" w14:textId="259B45F9" w:rsidR="00593A21" w:rsidRPr="00F82631" w:rsidRDefault="00000000" w:rsidP="00F82631">
      <w:pPr>
        <w:spacing w:after="0"/>
        <w:rPr>
          <w:rFonts w:ascii="Arial" w:eastAsia="Arial" w:hAnsi="Arial" w:cs="Arial"/>
          <w:highlight w:val="white"/>
          <w:lang w:val="es-AR"/>
        </w:rPr>
      </w:pPr>
      <w:r w:rsidRPr="00F82631">
        <w:rPr>
          <w:rFonts w:ascii="Arial" w:eastAsia="Arial" w:hAnsi="Arial" w:cs="Arial"/>
          <w:highlight w:val="white"/>
          <w:lang w:val="es-AR"/>
        </w:rPr>
        <w:t xml:space="preserve">La incorporación de tecnologías de la información y la comunicación (TIC) en la educación superior ha transformado profundamente los procesos de enseñanza-aprendizaje, promoviendo espacios más flexibles, interactivos y colaborativos. En el ámbito de las Ciencias de la Salud, este avance plantea desafíos específicos debido a la necesidad de integrar conocimientos teóricos con competencias prácticas. Las plataformas de simulación clínica y los laboratorios virtuales </w:t>
      </w:r>
      <w:r w:rsidR="00F82631" w:rsidRPr="00F82631">
        <w:rPr>
          <w:rFonts w:ascii="Arial" w:eastAsia="Arial" w:hAnsi="Arial" w:cs="Arial"/>
          <w:highlight w:val="white"/>
          <w:lang w:val="es-AR"/>
        </w:rPr>
        <w:t>surgen,</w:t>
      </w:r>
      <w:r w:rsidRPr="00F82631">
        <w:rPr>
          <w:rFonts w:ascii="Arial" w:eastAsia="Arial" w:hAnsi="Arial" w:cs="Arial"/>
          <w:highlight w:val="white"/>
          <w:lang w:val="es-AR"/>
        </w:rPr>
        <w:t xml:space="preserve"> así como herramientas valiosas para complementar la enseñanza presencial, especialmente en contextos con limitaciones de infraestructura y equipamiento.</w:t>
      </w:r>
    </w:p>
    <w:p w14:paraId="5258568A" w14:textId="3FBA5D9F" w:rsidR="00593A21" w:rsidRPr="00F82631" w:rsidRDefault="00000000" w:rsidP="00F82631">
      <w:pPr>
        <w:spacing w:after="0"/>
        <w:rPr>
          <w:rFonts w:ascii="Arial" w:eastAsia="Arial" w:hAnsi="Arial" w:cs="Arial"/>
          <w:highlight w:val="white"/>
          <w:lang w:val="es-AR"/>
        </w:rPr>
      </w:pPr>
      <w:r w:rsidRPr="00F82631">
        <w:rPr>
          <w:rFonts w:ascii="Arial" w:eastAsia="Arial" w:hAnsi="Arial" w:cs="Arial"/>
          <w:highlight w:val="white"/>
          <w:lang w:val="es-AR"/>
        </w:rPr>
        <w:t xml:space="preserve">En la cátedra de </w:t>
      </w:r>
      <w:r w:rsidRPr="00F82631">
        <w:rPr>
          <w:rFonts w:ascii="Arial" w:eastAsia="Arial" w:hAnsi="Arial" w:cs="Arial"/>
          <w:i/>
          <w:highlight w:val="white"/>
          <w:lang w:val="es-AR"/>
        </w:rPr>
        <w:t xml:space="preserve">Introducción a la Microbiología y Parasitología </w:t>
      </w:r>
      <w:r w:rsidRPr="00F82631">
        <w:rPr>
          <w:rFonts w:ascii="Arial" w:eastAsia="Arial" w:hAnsi="Arial" w:cs="Arial"/>
          <w:highlight w:val="white"/>
          <w:lang w:val="es-AR"/>
        </w:rPr>
        <w:t xml:space="preserve">de la Escuela de Nutrición de la Facultad de Ciencias Médicas </w:t>
      </w:r>
      <w:r w:rsidR="002B083C" w:rsidRPr="00F82631">
        <w:rPr>
          <w:rFonts w:ascii="Arial" w:eastAsia="Arial" w:hAnsi="Arial" w:cs="Arial"/>
          <w:highlight w:val="white"/>
          <w:lang w:val="es-AR"/>
        </w:rPr>
        <w:t>(</w:t>
      </w:r>
      <w:r w:rsidRPr="00F82631">
        <w:rPr>
          <w:rFonts w:ascii="Arial" w:eastAsia="Arial" w:hAnsi="Arial" w:cs="Arial"/>
          <w:highlight w:val="white"/>
          <w:lang w:val="es-AR"/>
        </w:rPr>
        <w:t xml:space="preserve">FCM) de la Universidad Nacional de Córdoba (UNC), se enfrenta anualmente al desafío de formar una cohorte numerosa (aproximadamente 200 estudiantes), con recursos limitados en infraestructura, personal docente y disponibilidad de insumos.  El espacio </w:t>
      </w:r>
      <w:r w:rsidR="002B083C" w:rsidRPr="00F82631">
        <w:rPr>
          <w:rFonts w:ascii="Arial" w:eastAsia="Arial" w:hAnsi="Arial" w:cs="Arial"/>
          <w:highlight w:val="white"/>
          <w:lang w:val="es-AR"/>
        </w:rPr>
        <w:t>institucional “</w:t>
      </w:r>
      <w:r w:rsidRPr="00F82631">
        <w:rPr>
          <w:rFonts w:ascii="Arial" w:eastAsia="Arial" w:hAnsi="Arial" w:cs="Arial"/>
          <w:highlight w:val="white"/>
          <w:lang w:val="es-AR"/>
        </w:rPr>
        <w:t>Laboratorio de Nutrición y Metabolismo” tiene capacidad para 15 estudiantes por turno, lo que imposibilita una práctica simultánea y equitativa para todo el estudiantado, genera</w:t>
      </w:r>
      <w:r w:rsidR="002B083C" w:rsidRPr="00F82631">
        <w:rPr>
          <w:rFonts w:ascii="Arial" w:eastAsia="Arial" w:hAnsi="Arial" w:cs="Arial"/>
          <w:highlight w:val="white"/>
          <w:lang w:val="es-AR"/>
        </w:rPr>
        <w:t>ndo</w:t>
      </w:r>
      <w:r w:rsidRPr="00F82631">
        <w:rPr>
          <w:rFonts w:ascii="Arial" w:eastAsia="Arial" w:hAnsi="Arial" w:cs="Arial"/>
          <w:highlight w:val="white"/>
          <w:lang w:val="es-AR"/>
        </w:rPr>
        <w:t xml:space="preserve"> barreras para la realización de </w:t>
      </w:r>
      <w:r w:rsidR="00F82631">
        <w:rPr>
          <w:rFonts w:ascii="Arial" w:eastAsia="Arial" w:hAnsi="Arial" w:cs="Arial"/>
          <w:highlight w:val="white"/>
          <w:lang w:val="es-AR"/>
        </w:rPr>
        <w:t>algunas</w:t>
      </w:r>
      <w:r w:rsidRPr="00F82631">
        <w:rPr>
          <w:rFonts w:ascii="Arial" w:eastAsia="Arial" w:hAnsi="Arial" w:cs="Arial"/>
          <w:highlight w:val="white"/>
          <w:lang w:val="es-AR"/>
        </w:rPr>
        <w:t xml:space="preserve"> prácticas educativas. </w:t>
      </w:r>
    </w:p>
    <w:p w14:paraId="21FCDCAD" w14:textId="77777777" w:rsidR="00593A21" w:rsidRPr="00F82631" w:rsidRDefault="00000000" w:rsidP="00F82631">
      <w:pPr>
        <w:spacing w:after="0"/>
        <w:rPr>
          <w:rFonts w:ascii="Arial" w:eastAsia="Arial" w:hAnsi="Arial" w:cs="Arial"/>
          <w:highlight w:val="white"/>
          <w:lang w:val="es-AR"/>
        </w:rPr>
      </w:pPr>
      <w:r w:rsidRPr="00F82631">
        <w:rPr>
          <w:rFonts w:ascii="Arial" w:eastAsia="Arial" w:hAnsi="Arial" w:cs="Arial"/>
          <w:highlight w:val="white"/>
          <w:lang w:val="es-AR"/>
        </w:rPr>
        <w:t>Ante esta situación, se implementó una estrategia pedagógica bimodal que combina instancias presenciales con simulaciones virtuales, favoreciendo el acceso interactivo, autónomo y seguro a técnicas microbiológicas esenciales. Estas herramientas no solo posibilitan la repetición de procedimientos en entornos seguros y controlados, sino que también otorga mayor flexibilidad en términos de tiempo, distancia y ritmo de aprendizaje, facilitando la conciliación entre las obligaciones académicas, laborales y personales del estudiantado (García Aretio, 2017).</w:t>
      </w:r>
    </w:p>
    <w:p w14:paraId="7CAAABF1" w14:textId="4C7C0F9B" w:rsidR="00593A21" w:rsidRPr="00F82631" w:rsidRDefault="00000000" w:rsidP="00F82631">
      <w:pPr>
        <w:spacing w:after="0"/>
        <w:rPr>
          <w:rFonts w:ascii="Arial" w:eastAsia="Arial" w:hAnsi="Arial" w:cs="Arial"/>
          <w:highlight w:val="white"/>
          <w:lang w:val="es-AR"/>
        </w:rPr>
      </w:pPr>
      <w:r w:rsidRPr="00F82631">
        <w:rPr>
          <w:rFonts w:ascii="Arial" w:eastAsia="Arial" w:hAnsi="Arial" w:cs="Arial"/>
          <w:highlight w:val="white"/>
          <w:lang w:val="es-AR"/>
        </w:rPr>
        <w:t xml:space="preserve">Este trabajo presenta la experiencia de </w:t>
      </w:r>
      <w:r w:rsidR="00F82631">
        <w:rPr>
          <w:rFonts w:ascii="Arial" w:eastAsia="Arial" w:hAnsi="Arial" w:cs="Arial"/>
          <w:highlight w:val="white"/>
          <w:lang w:val="es-AR"/>
        </w:rPr>
        <w:t xml:space="preserve">la </w:t>
      </w:r>
      <w:r w:rsidRPr="00F82631">
        <w:rPr>
          <w:rFonts w:ascii="Arial" w:eastAsia="Arial" w:hAnsi="Arial" w:cs="Arial"/>
          <w:highlight w:val="white"/>
          <w:lang w:val="es-AR"/>
        </w:rPr>
        <w:t>incorporación de laboratorios virtuales en la enseñanza de microbiología, enfocándose en técnicas como la siembra en placa, la preparación de frotis</w:t>
      </w:r>
      <w:r w:rsidR="004F66B9">
        <w:rPr>
          <w:rFonts w:ascii="Arial" w:eastAsia="Arial" w:hAnsi="Arial" w:cs="Arial"/>
          <w:highlight w:val="white"/>
          <w:lang w:val="es-AR"/>
        </w:rPr>
        <w:t xml:space="preserve">. </w:t>
      </w:r>
      <w:r w:rsidRPr="00F82631">
        <w:rPr>
          <w:rFonts w:ascii="Arial" w:eastAsia="Arial" w:hAnsi="Arial" w:cs="Arial"/>
          <w:highlight w:val="white"/>
          <w:lang w:val="es-AR"/>
        </w:rPr>
        <w:t>la tinción de Gram</w:t>
      </w:r>
      <w:r w:rsidR="004F66B9">
        <w:rPr>
          <w:rFonts w:ascii="Arial" w:eastAsia="Arial" w:hAnsi="Arial" w:cs="Arial"/>
          <w:highlight w:val="white"/>
          <w:lang w:val="es-AR"/>
        </w:rPr>
        <w:t xml:space="preserve"> y su observación al microscopio óptico</w:t>
      </w:r>
      <w:r w:rsidRPr="00F82631">
        <w:rPr>
          <w:rFonts w:ascii="Arial" w:eastAsia="Arial" w:hAnsi="Arial" w:cs="Arial"/>
          <w:highlight w:val="white"/>
          <w:lang w:val="es-AR"/>
        </w:rPr>
        <w:t>. Se analizan los beneficios observados como las limitaciones y desafíos que emergen de su implementación.</w:t>
      </w:r>
    </w:p>
    <w:p w14:paraId="3A932740" w14:textId="77777777" w:rsidR="00593A21" w:rsidRPr="00F82631" w:rsidRDefault="00593A21" w:rsidP="00F82631">
      <w:pPr>
        <w:pBdr>
          <w:top w:val="nil"/>
          <w:left w:val="nil"/>
          <w:bottom w:val="nil"/>
          <w:right w:val="nil"/>
          <w:between w:val="nil"/>
        </w:pBdr>
        <w:spacing w:after="0"/>
        <w:rPr>
          <w:rFonts w:ascii="Arial" w:eastAsia="Arial" w:hAnsi="Arial" w:cs="Arial"/>
          <w:color w:val="000000"/>
          <w:highlight w:val="white"/>
          <w:lang w:val="es-AR"/>
        </w:rPr>
      </w:pPr>
    </w:p>
    <w:p w14:paraId="3A558EE7" w14:textId="77777777" w:rsidR="00593A21" w:rsidRPr="00F82631" w:rsidRDefault="00000000" w:rsidP="00F82631">
      <w:pPr>
        <w:pBdr>
          <w:top w:val="nil"/>
          <w:left w:val="nil"/>
          <w:bottom w:val="nil"/>
          <w:right w:val="nil"/>
          <w:between w:val="nil"/>
        </w:pBdr>
        <w:spacing w:after="0"/>
        <w:rPr>
          <w:rFonts w:ascii="Arial" w:eastAsia="Arial" w:hAnsi="Arial" w:cs="Arial"/>
          <w:b/>
          <w:color w:val="000000"/>
          <w:lang w:val="es-AR"/>
        </w:rPr>
      </w:pPr>
      <w:r w:rsidRPr="00F82631">
        <w:rPr>
          <w:rFonts w:ascii="Arial" w:eastAsia="Arial" w:hAnsi="Arial" w:cs="Arial"/>
          <w:b/>
          <w:color w:val="000000"/>
          <w:lang w:val="es-AR"/>
        </w:rPr>
        <w:t>OBJETIVOS</w:t>
      </w:r>
    </w:p>
    <w:p w14:paraId="7F5806C9" w14:textId="77777777" w:rsidR="00593A21" w:rsidRPr="00F82631" w:rsidRDefault="00000000" w:rsidP="00F82631">
      <w:pPr>
        <w:spacing w:after="0"/>
        <w:rPr>
          <w:rFonts w:ascii="Arial" w:eastAsia="Arial" w:hAnsi="Arial" w:cs="Arial"/>
          <w:highlight w:val="white"/>
          <w:lang w:val="es-AR"/>
        </w:rPr>
      </w:pPr>
      <w:r w:rsidRPr="00F82631">
        <w:rPr>
          <w:rFonts w:ascii="Arial" w:eastAsia="Arial" w:hAnsi="Arial" w:cs="Arial"/>
          <w:highlight w:val="white"/>
          <w:lang w:val="es-AR"/>
        </w:rPr>
        <w:t>Describir una experiencia pedagógica bimodal en la enseñanza de microbiología en Ciencias de la Salud, basada en la integración de laboratorios virtuales y actividades presenciales, como estrategia para facilitar el aprendizaje práctico en contextos con alta matrícula y recursos limitados.</w:t>
      </w:r>
    </w:p>
    <w:p w14:paraId="6F09492C" w14:textId="77777777" w:rsidR="00593A21" w:rsidRPr="00F82631" w:rsidRDefault="00593A21" w:rsidP="00F82631">
      <w:pPr>
        <w:pBdr>
          <w:top w:val="nil"/>
          <w:left w:val="nil"/>
          <w:bottom w:val="nil"/>
          <w:right w:val="nil"/>
          <w:between w:val="nil"/>
        </w:pBdr>
        <w:spacing w:after="0"/>
        <w:rPr>
          <w:rFonts w:ascii="Arial" w:eastAsia="Arial" w:hAnsi="Arial" w:cs="Arial"/>
          <w:color w:val="000000"/>
          <w:lang w:val="es-AR"/>
        </w:rPr>
      </w:pPr>
    </w:p>
    <w:p w14:paraId="59D4CD7A" w14:textId="77777777" w:rsidR="00593A21" w:rsidRPr="00F82631" w:rsidRDefault="00000000" w:rsidP="00F82631">
      <w:pPr>
        <w:pBdr>
          <w:top w:val="nil"/>
          <w:left w:val="nil"/>
          <w:bottom w:val="nil"/>
          <w:right w:val="nil"/>
          <w:between w:val="nil"/>
        </w:pBdr>
        <w:spacing w:after="0"/>
        <w:rPr>
          <w:rFonts w:ascii="Arial" w:eastAsia="Arial" w:hAnsi="Arial" w:cs="Arial"/>
          <w:b/>
          <w:color w:val="000000"/>
          <w:lang w:val="es-AR"/>
        </w:rPr>
      </w:pPr>
      <w:r w:rsidRPr="00F82631">
        <w:rPr>
          <w:rFonts w:ascii="Arial" w:eastAsia="Arial" w:hAnsi="Arial" w:cs="Arial"/>
          <w:b/>
          <w:color w:val="000000"/>
          <w:lang w:val="es-AR"/>
        </w:rPr>
        <w:t>MATERIALES Y MÉTODOS</w:t>
      </w:r>
    </w:p>
    <w:p w14:paraId="53DBA486" w14:textId="36C7B7DC" w:rsidR="00593A21" w:rsidRPr="00F82631" w:rsidRDefault="00000000" w:rsidP="00F82631">
      <w:pPr>
        <w:spacing w:after="0"/>
        <w:rPr>
          <w:rFonts w:ascii="Arial" w:eastAsia="Arial" w:hAnsi="Arial" w:cs="Arial"/>
          <w:lang w:val="es-AR"/>
        </w:rPr>
      </w:pPr>
      <w:r w:rsidRPr="00F82631">
        <w:rPr>
          <w:rFonts w:ascii="Arial" w:eastAsia="Arial" w:hAnsi="Arial" w:cs="Arial"/>
          <w:lang w:val="es-AR"/>
        </w:rPr>
        <w:t>La experiencia se llevó a cabo durante el ciclo lectivo 2024 en la asignatura</w:t>
      </w:r>
      <w:r w:rsidR="004F66B9">
        <w:rPr>
          <w:rFonts w:ascii="Arial" w:eastAsia="Arial" w:hAnsi="Arial" w:cs="Arial"/>
          <w:lang w:val="es-AR"/>
        </w:rPr>
        <w:t xml:space="preserve"> </w:t>
      </w:r>
      <w:r w:rsidRPr="00F82631">
        <w:rPr>
          <w:rFonts w:ascii="Arial" w:eastAsia="Arial" w:hAnsi="Arial" w:cs="Arial"/>
          <w:lang w:val="es-AR"/>
        </w:rPr>
        <w:t xml:space="preserve">Introducción a la Microbiología y Parasitología, perteneciente a la carrera de </w:t>
      </w:r>
      <w:r w:rsidRPr="00F82631">
        <w:rPr>
          <w:rFonts w:ascii="Arial" w:eastAsia="Arial" w:hAnsi="Arial" w:cs="Arial"/>
          <w:lang w:val="es-AR"/>
        </w:rPr>
        <w:lastRenderedPageBreak/>
        <w:t>Licenciatura en Nutrición, FCM-UNC, con una matrícula anual de 219 estudiantes. El equipo docente lo conforman 3 profesoras</w:t>
      </w:r>
      <w:r w:rsidR="00847625" w:rsidRPr="00F82631">
        <w:rPr>
          <w:rFonts w:ascii="Arial" w:eastAsia="Arial" w:hAnsi="Arial" w:cs="Arial"/>
          <w:lang w:val="es-AR"/>
        </w:rPr>
        <w:t xml:space="preserve">. </w:t>
      </w:r>
      <w:r w:rsidRPr="00F82631">
        <w:rPr>
          <w:rFonts w:ascii="Arial" w:eastAsia="Arial" w:hAnsi="Arial" w:cs="Arial"/>
          <w:lang w:val="es-AR"/>
        </w:rPr>
        <w:t xml:space="preserve"> </w:t>
      </w:r>
    </w:p>
    <w:p w14:paraId="2C439567" w14:textId="4682F1E8" w:rsidR="00593A21" w:rsidRDefault="00000000" w:rsidP="00F82631">
      <w:pPr>
        <w:spacing w:after="0"/>
        <w:rPr>
          <w:rFonts w:ascii="Arial" w:eastAsia="Arial" w:hAnsi="Arial" w:cs="Arial"/>
          <w:lang w:val="es-AR"/>
        </w:rPr>
      </w:pPr>
      <w:r w:rsidRPr="00F82631">
        <w:rPr>
          <w:rFonts w:ascii="Arial" w:eastAsia="Arial" w:hAnsi="Arial" w:cs="Arial"/>
          <w:lang w:val="es-AR"/>
        </w:rPr>
        <w:t>Ante la imposibilidad de realizar prácticas presenciales con todo el estudiantado de manera simultánea —por limitaciones edilicias y de equipamiento—, se diseñó una propuesta educativa bimodal con el propósito de complementar y enriquecer la propuesta formativa. La misma articuló clases teórico-prácticas presenciales con material complementario en el aula Moodle institucional que incluye materiales audiovisuales propios (videos instructivos sobre toma de muestras, siembra en placa, preparación de frotis, tinción de Gram, observación al microscopio óptico), la habilitación de foros de consulta asincrónicos y la incorporación de simuladores interactivos de</w:t>
      </w:r>
      <w:r w:rsidR="00F82631">
        <w:rPr>
          <w:rFonts w:ascii="Arial" w:eastAsia="Arial" w:hAnsi="Arial" w:cs="Arial"/>
          <w:lang w:val="es-AR"/>
        </w:rPr>
        <w:t>l</w:t>
      </w:r>
      <w:r w:rsidRPr="00F82631">
        <w:rPr>
          <w:rFonts w:ascii="Arial" w:eastAsia="Arial" w:hAnsi="Arial" w:cs="Arial"/>
          <w:lang w:val="es-AR"/>
        </w:rPr>
        <w:t xml:space="preserve"> laboratorio de microbiología</w:t>
      </w:r>
      <w:r w:rsidR="00F82631">
        <w:rPr>
          <w:rFonts w:ascii="Arial" w:eastAsia="Arial" w:hAnsi="Arial" w:cs="Arial"/>
          <w:lang w:val="es-AR"/>
        </w:rPr>
        <w:t>,</w:t>
      </w:r>
      <w:r w:rsidRPr="00F82631">
        <w:rPr>
          <w:rFonts w:ascii="Arial" w:eastAsia="Arial" w:hAnsi="Arial" w:cs="Arial"/>
          <w:lang w:val="es-AR"/>
        </w:rPr>
        <w:t xml:space="preserve"> </w:t>
      </w:r>
      <w:r w:rsidR="002B083C" w:rsidRPr="00F82631">
        <w:rPr>
          <w:rFonts w:ascii="Arial" w:eastAsia="Arial" w:hAnsi="Arial" w:cs="Arial"/>
          <w:lang w:val="es-AR"/>
        </w:rPr>
        <w:t>en</w:t>
      </w:r>
      <w:r w:rsidR="00F82631">
        <w:rPr>
          <w:rFonts w:ascii="Arial" w:eastAsia="Arial" w:hAnsi="Arial" w:cs="Arial"/>
          <w:lang w:val="es-AR"/>
        </w:rPr>
        <w:t xml:space="preserve"> idioma</w:t>
      </w:r>
      <w:r w:rsidR="002B083C" w:rsidRPr="00F82631">
        <w:rPr>
          <w:rFonts w:ascii="Arial" w:eastAsia="Arial" w:hAnsi="Arial" w:cs="Arial"/>
          <w:lang w:val="es-AR"/>
        </w:rPr>
        <w:t xml:space="preserve"> inglés</w:t>
      </w:r>
      <w:r w:rsidR="00F82631">
        <w:rPr>
          <w:rFonts w:ascii="Arial" w:eastAsia="Arial" w:hAnsi="Arial" w:cs="Arial"/>
          <w:lang w:val="es-AR"/>
        </w:rPr>
        <w:t>,</w:t>
      </w:r>
      <w:r w:rsidR="002B083C" w:rsidRPr="00F82631">
        <w:rPr>
          <w:rFonts w:ascii="Arial" w:eastAsia="Arial" w:hAnsi="Arial" w:cs="Arial"/>
          <w:lang w:val="es-AR"/>
        </w:rPr>
        <w:t xml:space="preserve"> </w:t>
      </w:r>
      <w:r w:rsidRPr="00F82631">
        <w:rPr>
          <w:rFonts w:ascii="Arial" w:eastAsia="Arial" w:hAnsi="Arial" w:cs="Arial"/>
          <w:lang w:val="es-AR"/>
        </w:rPr>
        <w:t xml:space="preserve">de la plataforma </w:t>
      </w:r>
      <w:r w:rsidRPr="00F82631">
        <w:rPr>
          <w:rFonts w:ascii="Arial" w:eastAsia="Arial" w:hAnsi="Arial" w:cs="Arial"/>
          <w:i/>
          <w:lang w:val="es-AR"/>
        </w:rPr>
        <w:t>Virtual Biology Labs</w:t>
      </w:r>
      <w:r w:rsidRPr="00F82631">
        <w:rPr>
          <w:rFonts w:ascii="Arial" w:eastAsia="Arial" w:hAnsi="Arial" w:cs="Arial"/>
          <w:lang w:val="es-AR"/>
        </w:rPr>
        <w:t xml:space="preserve"> (Michigan State University, 2021), que permitieron la práctica autónoma de procedimientos microbiológicos esenciales (siembra en placa, preparación de frotis, tinción de Gram y la observación de muestras al microscopio óptico). </w:t>
      </w:r>
      <w:r w:rsidRPr="00F82631">
        <w:rPr>
          <w:rFonts w:ascii="Arial" w:eastAsia="Arial" w:hAnsi="Arial" w:cs="Arial"/>
          <w:lang w:val="es-AR"/>
        </w:rPr>
        <w:br/>
        <w:t>Posteriormente, se llevaron a cabo prácticas presenciales en grupos de hasta 15 estudiantes. En estas instancias se replicaron las técnicas previamente abordadas en los entornos virtuales, incluyendo la siembra en placas con diferentes muestras de alimentos, hisopado de manos antes y después del lavado con agua y jabón e hisopado de superficies comunes (pupitres). El equipo docente acompañó a los grupos para resolver dudas y observar la ejecución de las técnicas.</w:t>
      </w:r>
    </w:p>
    <w:p w14:paraId="6AF81FD5" w14:textId="1C37C04C" w:rsidR="00912725" w:rsidRPr="00912725" w:rsidRDefault="00912725" w:rsidP="00ED437A">
      <w:pPr>
        <w:spacing w:after="0"/>
        <w:rPr>
          <w:rFonts w:ascii="Arial" w:eastAsia="Arial" w:hAnsi="Arial" w:cs="Arial"/>
          <w:lang w:val="es-AR"/>
        </w:rPr>
      </w:pPr>
      <w:r>
        <w:rPr>
          <w:rFonts w:ascii="Arial" w:eastAsia="Arial" w:hAnsi="Arial" w:cs="Arial"/>
          <w:lang w:val="es-AR"/>
        </w:rPr>
        <w:t>Por último, l</w:t>
      </w:r>
      <w:r w:rsidRPr="00912725">
        <w:rPr>
          <w:rFonts w:ascii="Arial" w:eastAsia="Arial" w:hAnsi="Arial" w:cs="Arial"/>
          <w:lang w:val="es-AR"/>
        </w:rPr>
        <w:t>os frotis de las muestras fueron observados utilizando un microscopio binocular equipado con un fototubo al que se anexó una cámara digital. Esta configuración permitió proyectar en tiempo real, en la pantalla del aula, las imágenes de las muestras observadas al microscopio. Un integrante del equipo docente operó el microscopio, ajustando el enfoque y encuadre de la</w:t>
      </w:r>
      <w:r w:rsidR="008472EB">
        <w:rPr>
          <w:rFonts w:ascii="Arial" w:eastAsia="Arial" w:hAnsi="Arial" w:cs="Arial"/>
          <w:lang w:val="es-AR"/>
        </w:rPr>
        <w:t>s</w:t>
      </w:r>
      <w:r w:rsidRPr="00912725">
        <w:rPr>
          <w:rFonts w:ascii="Arial" w:eastAsia="Arial" w:hAnsi="Arial" w:cs="Arial"/>
          <w:lang w:val="es-AR"/>
        </w:rPr>
        <w:t xml:space="preserve"> </w:t>
      </w:r>
      <w:r w:rsidR="008472EB" w:rsidRPr="00912725">
        <w:rPr>
          <w:rFonts w:ascii="Arial" w:eastAsia="Arial" w:hAnsi="Arial" w:cs="Arial"/>
          <w:lang w:val="es-AR"/>
        </w:rPr>
        <w:t>imágen</w:t>
      </w:r>
      <w:r w:rsidR="008472EB">
        <w:rPr>
          <w:rFonts w:ascii="Arial" w:eastAsia="Arial" w:hAnsi="Arial" w:cs="Arial"/>
          <w:lang w:val="es-AR"/>
        </w:rPr>
        <w:t>es</w:t>
      </w:r>
      <w:r w:rsidRPr="00912725">
        <w:rPr>
          <w:rFonts w:ascii="Arial" w:eastAsia="Arial" w:hAnsi="Arial" w:cs="Arial"/>
          <w:lang w:val="es-AR"/>
        </w:rPr>
        <w:t xml:space="preserve"> para guiar la visualización colectiva y facilitar la interpretación de los hallazgos por parte del estudiantado</w:t>
      </w:r>
      <w:r>
        <w:rPr>
          <w:rFonts w:ascii="Arial" w:eastAsia="Arial" w:hAnsi="Arial" w:cs="Arial"/>
          <w:lang w:val="es-AR"/>
        </w:rPr>
        <w:t>.</w:t>
      </w:r>
    </w:p>
    <w:p w14:paraId="37C75966" w14:textId="0502E451" w:rsidR="00593A21" w:rsidRPr="00F82631" w:rsidRDefault="00000000" w:rsidP="00F82631">
      <w:pPr>
        <w:spacing w:after="0"/>
        <w:rPr>
          <w:rFonts w:ascii="Arial" w:eastAsia="Arial" w:hAnsi="Arial" w:cs="Arial"/>
          <w:lang w:val="es-AR"/>
        </w:rPr>
      </w:pPr>
      <w:r w:rsidRPr="00F82631">
        <w:rPr>
          <w:rFonts w:ascii="Arial" w:eastAsia="Arial" w:hAnsi="Arial" w:cs="Arial"/>
          <w:lang w:val="es-AR"/>
        </w:rPr>
        <w:t>La evaluación de la experiencia incluyó un cuestionario autoevaluativo virtual a</w:t>
      </w:r>
      <w:r w:rsidR="002B083C" w:rsidRPr="00F82631">
        <w:rPr>
          <w:rFonts w:ascii="Arial" w:eastAsia="Arial" w:hAnsi="Arial" w:cs="Arial"/>
          <w:lang w:val="es-AR"/>
        </w:rPr>
        <w:t xml:space="preserve"> </w:t>
      </w:r>
      <w:r w:rsidRPr="00F82631">
        <w:rPr>
          <w:rFonts w:ascii="Arial" w:eastAsia="Arial" w:hAnsi="Arial" w:cs="Arial"/>
          <w:lang w:val="es-AR"/>
        </w:rPr>
        <w:t>fin de que el estudiantado identifique fortalezas y áreas a mejorar en el transcurso de su aprendizaje, la revisión del desempeño en exámenes teóricos y prácticos y una encuesta final anónima y optativa, con una escala de valoración ordinal (muy productivo, bastante productivo, poco productivo, nada productivo), para relevar la percepción estudiantil sobre las herramientas utilizadas.</w:t>
      </w:r>
    </w:p>
    <w:p w14:paraId="75BD74BE" w14:textId="77777777" w:rsidR="00593A21" w:rsidRPr="00F82631" w:rsidRDefault="00593A21" w:rsidP="00F82631">
      <w:pPr>
        <w:spacing w:after="0"/>
        <w:rPr>
          <w:rFonts w:ascii="Arial" w:eastAsia="Arial" w:hAnsi="Arial" w:cs="Arial"/>
          <w:lang w:val="es-AR"/>
        </w:rPr>
      </w:pPr>
    </w:p>
    <w:p w14:paraId="0034A34D" w14:textId="43F8C02A" w:rsidR="00593A21" w:rsidRPr="00F82631" w:rsidRDefault="00000000" w:rsidP="00F82631">
      <w:pPr>
        <w:spacing w:after="0"/>
        <w:rPr>
          <w:rFonts w:ascii="Arial" w:eastAsia="Arial" w:hAnsi="Arial" w:cs="Arial"/>
          <w:b/>
          <w:color w:val="000000"/>
          <w:lang w:val="es-AR"/>
        </w:rPr>
      </w:pPr>
      <w:r w:rsidRPr="00F82631">
        <w:rPr>
          <w:rFonts w:ascii="Arial" w:eastAsia="Arial" w:hAnsi="Arial" w:cs="Arial"/>
          <w:b/>
          <w:color w:val="000000"/>
          <w:lang w:val="es-AR"/>
        </w:rPr>
        <w:t>RESULTADOS Y DISCUSIÓN</w:t>
      </w:r>
    </w:p>
    <w:p w14:paraId="7E696143" w14:textId="77777777" w:rsidR="00593A21" w:rsidRPr="00F82631" w:rsidRDefault="00000000" w:rsidP="00F82631">
      <w:pPr>
        <w:spacing w:after="0"/>
        <w:rPr>
          <w:rFonts w:ascii="Arial" w:eastAsia="Arial" w:hAnsi="Arial" w:cs="Arial"/>
          <w:lang w:val="es-AR"/>
        </w:rPr>
      </w:pPr>
      <w:r w:rsidRPr="00F82631">
        <w:rPr>
          <w:rFonts w:ascii="Arial" w:eastAsia="Arial" w:hAnsi="Arial" w:cs="Arial"/>
          <w:lang w:val="es-AR"/>
        </w:rPr>
        <w:t>Los resultados se organizan en tres ejes: desempeño académico, percepción estudiantil y evaluación docente.</w:t>
      </w:r>
    </w:p>
    <w:p w14:paraId="2BC5528F" w14:textId="77777777" w:rsidR="00593A21" w:rsidRPr="00F82631" w:rsidRDefault="00593A21" w:rsidP="00F82631">
      <w:pPr>
        <w:spacing w:after="0"/>
        <w:rPr>
          <w:rFonts w:ascii="Arial" w:eastAsia="Arial" w:hAnsi="Arial" w:cs="Arial"/>
          <w:lang w:val="es-AR"/>
        </w:rPr>
      </w:pPr>
    </w:p>
    <w:p w14:paraId="4BFD0C8B" w14:textId="77777777" w:rsidR="00593A21" w:rsidRPr="00F82631" w:rsidRDefault="00000000" w:rsidP="00F82631">
      <w:pPr>
        <w:spacing w:after="0"/>
        <w:rPr>
          <w:rFonts w:ascii="Arial" w:eastAsia="Arial" w:hAnsi="Arial" w:cs="Arial"/>
          <w:b/>
          <w:lang w:val="es-AR"/>
        </w:rPr>
      </w:pPr>
      <w:r w:rsidRPr="00F82631">
        <w:rPr>
          <w:rFonts w:ascii="Arial" w:eastAsia="Arial" w:hAnsi="Arial" w:cs="Arial"/>
          <w:b/>
          <w:lang w:val="es-AR"/>
        </w:rPr>
        <w:t>Desempeño académico</w:t>
      </w:r>
    </w:p>
    <w:p w14:paraId="45D70D1C" w14:textId="0CB381FF" w:rsidR="00593A21" w:rsidRPr="00F82631" w:rsidRDefault="00000000" w:rsidP="00F82631">
      <w:pPr>
        <w:spacing w:after="0"/>
        <w:rPr>
          <w:rFonts w:ascii="Arial" w:eastAsia="Arial" w:hAnsi="Arial" w:cs="Arial"/>
          <w:lang w:val="es-AR"/>
        </w:rPr>
      </w:pPr>
      <w:r w:rsidRPr="00F82631">
        <w:rPr>
          <w:rFonts w:ascii="Arial" w:eastAsia="Arial" w:hAnsi="Arial" w:cs="Arial"/>
          <w:lang w:val="es-AR"/>
        </w:rPr>
        <w:t xml:space="preserve">El 67% del estudiantado que realizó la práctica virtual previa, ejecutó correctamente la técnica de siembra en placa durante la instancia presencial. Se observó una reducción del 30% en el tiempo requerido para la instrucción en laboratorio, lo que permitió a los docentes dedicar más tiempo al acompañamiento personalizado y la resolución de dudas. Asimismo, la mayoría alcanzó resultados satisfactorios en la tinción de Gram desde la primera práctica, lo que representó una mejora respecto de ciclos lectivos anteriores. Este mejor desempeño se vio acompañado por una mayor preparación teórica, favorecida por la instancia de autoevaluación disponible en el aula virtual, que permitió al estudiantado </w:t>
      </w:r>
      <w:r w:rsidR="002B083C" w:rsidRPr="00F82631">
        <w:rPr>
          <w:rFonts w:ascii="Arial" w:eastAsia="Arial" w:hAnsi="Arial" w:cs="Arial"/>
          <w:lang w:val="es-AR"/>
        </w:rPr>
        <w:t xml:space="preserve">revisar y reforzar </w:t>
      </w:r>
      <w:r w:rsidRPr="00F82631">
        <w:rPr>
          <w:rFonts w:ascii="Arial" w:eastAsia="Arial" w:hAnsi="Arial" w:cs="Arial"/>
          <w:lang w:val="es-AR"/>
        </w:rPr>
        <w:t>contenidos clave de forma autónoma antes de la práctica. Desde la mirada docente, se evidenció una m</w:t>
      </w:r>
      <w:r w:rsidR="002B083C" w:rsidRPr="00F82631">
        <w:rPr>
          <w:rFonts w:ascii="Arial" w:eastAsia="Arial" w:hAnsi="Arial" w:cs="Arial"/>
          <w:lang w:val="es-AR"/>
        </w:rPr>
        <w:t xml:space="preserve">ayor apropiación conceptual, </w:t>
      </w:r>
      <w:r w:rsidRPr="00F82631">
        <w:rPr>
          <w:rFonts w:ascii="Arial" w:eastAsia="Arial" w:hAnsi="Arial" w:cs="Arial"/>
          <w:lang w:val="es-AR"/>
        </w:rPr>
        <w:t>reflej</w:t>
      </w:r>
      <w:r w:rsidR="002B083C" w:rsidRPr="00F82631">
        <w:rPr>
          <w:rFonts w:ascii="Arial" w:eastAsia="Arial" w:hAnsi="Arial" w:cs="Arial"/>
          <w:lang w:val="es-AR"/>
        </w:rPr>
        <w:t xml:space="preserve">ada </w:t>
      </w:r>
      <w:r w:rsidRPr="00F82631">
        <w:rPr>
          <w:rFonts w:ascii="Arial" w:eastAsia="Arial" w:hAnsi="Arial" w:cs="Arial"/>
          <w:lang w:val="es-AR"/>
        </w:rPr>
        <w:t xml:space="preserve">en las evaluaciones escritas </w:t>
      </w:r>
      <w:r w:rsidR="002B083C" w:rsidRPr="00F82631">
        <w:rPr>
          <w:rFonts w:ascii="Arial" w:eastAsia="Arial" w:hAnsi="Arial" w:cs="Arial"/>
          <w:lang w:val="es-AR"/>
        </w:rPr>
        <w:t xml:space="preserve">y </w:t>
      </w:r>
      <w:r w:rsidRPr="00F82631">
        <w:rPr>
          <w:rFonts w:ascii="Arial" w:eastAsia="Arial" w:hAnsi="Arial" w:cs="Arial"/>
          <w:lang w:val="es-AR"/>
        </w:rPr>
        <w:t>prácticas.</w:t>
      </w:r>
    </w:p>
    <w:p w14:paraId="661EB221" w14:textId="77777777" w:rsidR="00593A21" w:rsidRPr="00F82631" w:rsidRDefault="00593A21" w:rsidP="00F82631">
      <w:pPr>
        <w:spacing w:after="0"/>
        <w:rPr>
          <w:rFonts w:ascii="Arial" w:eastAsia="Arial" w:hAnsi="Arial" w:cs="Arial"/>
          <w:lang w:val="es-AR"/>
        </w:rPr>
      </w:pPr>
    </w:p>
    <w:p w14:paraId="42A4765A" w14:textId="77777777" w:rsidR="00593A21" w:rsidRPr="00F82631" w:rsidRDefault="00000000" w:rsidP="00F82631">
      <w:pPr>
        <w:spacing w:after="0"/>
        <w:rPr>
          <w:rFonts w:ascii="Arial" w:eastAsia="Arial" w:hAnsi="Arial" w:cs="Arial"/>
          <w:b/>
          <w:lang w:val="es-AR"/>
        </w:rPr>
      </w:pPr>
      <w:r w:rsidRPr="00F82631">
        <w:rPr>
          <w:rFonts w:ascii="Arial" w:eastAsia="Arial" w:hAnsi="Arial" w:cs="Arial"/>
          <w:b/>
          <w:lang w:val="es-AR"/>
        </w:rPr>
        <w:t>Percepción estudiantil</w:t>
      </w:r>
    </w:p>
    <w:p w14:paraId="3A5D36C8" w14:textId="77777777" w:rsidR="00593A21" w:rsidRPr="00F82631" w:rsidRDefault="00000000" w:rsidP="00F82631">
      <w:pPr>
        <w:spacing w:after="0"/>
        <w:rPr>
          <w:rFonts w:ascii="Arial" w:eastAsia="Arial" w:hAnsi="Arial" w:cs="Arial"/>
          <w:lang w:val="es-AR"/>
        </w:rPr>
      </w:pPr>
      <w:r w:rsidRPr="00F82631">
        <w:rPr>
          <w:rFonts w:ascii="Arial" w:eastAsia="Arial" w:hAnsi="Arial" w:cs="Arial"/>
          <w:lang w:val="es-AR"/>
        </w:rPr>
        <w:t xml:space="preserve">El 97,79% (n=67) del estudiantado consideró bastante o muy productivo el material disponible en el aula virtual como preparación para las prácticas presenciales (Figura 1). Uno de los aspectos más valorados fue la disponibilidad de instructivos en idioma </w:t>
      </w:r>
      <w:r w:rsidRPr="00F82631">
        <w:rPr>
          <w:rFonts w:ascii="Arial" w:eastAsia="Arial" w:hAnsi="Arial" w:cs="Arial"/>
          <w:lang w:val="es-AR"/>
        </w:rPr>
        <w:lastRenderedPageBreak/>
        <w:t>español, elaborados por el equipo docente, que facilitaron la navegación por el laboratorio virtual, originalmente en inglés.</w:t>
      </w:r>
    </w:p>
    <w:p w14:paraId="250B7990" w14:textId="297F8B3E" w:rsidR="00593A21" w:rsidRPr="00F82631" w:rsidRDefault="00000000" w:rsidP="00F82631">
      <w:pPr>
        <w:spacing w:after="0"/>
        <w:rPr>
          <w:rFonts w:ascii="Arial" w:eastAsia="Arial" w:hAnsi="Arial" w:cs="Arial"/>
          <w:lang w:val="es-AR"/>
        </w:rPr>
      </w:pPr>
      <w:r w:rsidRPr="00F82631">
        <w:rPr>
          <w:rFonts w:ascii="Arial" w:eastAsia="Arial" w:hAnsi="Arial" w:cs="Arial"/>
          <w:lang w:val="es-AR"/>
        </w:rPr>
        <w:t xml:space="preserve">Asimismo, el 75,35% (n=55) </w:t>
      </w:r>
      <w:r w:rsidR="002B083C" w:rsidRPr="00F82631">
        <w:rPr>
          <w:rFonts w:ascii="Arial" w:eastAsia="Arial" w:hAnsi="Arial" w:cs="Arial"/>
          <w:lang w:val="es-AR"/>
        </w:rPr>
        <w:t xml:space="preserve">valoró </w:t>
      </w:r>
      <w:r w:rsidRPr="00F82631">
        <w:rPr>
          <w:rFonts w:ascii="Arial" w:eastAsia="Arial" w:hAnsi="Arial" w:cs="Arial"/>
          <w:lang w:val="es-AR"/>
        </w:rPr>
        <w:t xml:space="preserve">positivamente la </w:t>
      </w:r>
      <w:r w:rsidR="002B083C" w:rsidRPr="00F82631">
        <w:rPr>
          <w:rFonts w:ascii="Arial" w:eastAsia="Arial" w:hAnsi="Arial" w:cs="Arial"/>
          <w:lang w:val="es-AR"/>
        </w:rPr>
        <w:t xml:space="preserve">experiencia </w:t>
      </w:r>
      <w:r w:rsidRPr="00F82631">
        <w:rPr>
          <w:rFonts w:ascii="Arial" w:eastAsia="Arial" w:hAnsi="Arial" w:cs="Arial"/>
          <w:lang w:val="es-AR"/>
        </w:rPr>
        <w:t>de simulación virtual, aunque algunos manifestaron dificultades técnicas, especialmente al acceder desde dispositivos móviles (Figura 2). La mayoría coincidió en que la experiencia previa con simulador</w:t>
      </w:r>
      <w:r w:rsidR="00912725">
        <w:rPr>
          <w:rFonts w:ascii="Arial" w:eastAsia="Arial" w:hAnsi="Arial" w:cs="Arial"/>
          <w:lang w:val="es-AR"/>
        </w:rPr>
        <w:t>es</w:t>
      </w:r>
      <w:r w:rsidRPr="00F82631">
        <w:rPr>
          <w:rFonts w:ascii="Arial" w:eastAsia="Arial" w:hAnsi="Arial" w:cs="Arial"/>
          <w:lang w:val="es-AR"/>
        </w:rPr>
        <w:t xml:space="preserve"> aumentó su comprensión de las técnicas microbiológicas y les brindó mayor seguridad al momento de afrontar la práctica presencial.</w:t>
      </w:r>
    </w:p>
    <w:p w14:paraId="44435A29" w14:textId="4DC44781" w:rsidR="00593A21" w:rsidRPr="00F82631" w:rsidRDefault="00F82631" w:rsidP="00F82631">
      <w:pPr>
        <w:spacing w:after="0"/>
        <w:rPr>
          <w:rFonts w:ascii="Arial" w:eastAsia="Arial" w:hAnsi="Arial" w:cs="Arial"/>
          <w:lang w:val="es-AR"/>
        </w:rPr>
      </w:pPr>
      <w:r w:rsidRPr="00F82631">
        <w:rPr>
          <w:rFonts w:ascii="Arial" w:eastAsia="Arial" w:hAnsi="Arial" w:cs="Arial"/>
          <w:b/>
          <w:noProof/>
          <w:lang w:val="es-AR"/>
        </w:rPr>
        <w:drawing>
          <wp:anchor distT="0" distB="0" distL="114300" distR="114300" simplePos="0" relativeHeight="251661312" behindDoc="1" locked="0" layoutInCell="1" allowOverlap="1" wp14:anchorId="4C62FB58" wp14:editId="2684D147">
            <wp:simplePos x="0" y="0"/>
            <wp:positionH relativeFrom="column">
              <wp:posOffset>2699385</wp:posOffset>
            </wp:positionH>
            <wp:positionV relativeFrom="paragraph">
              <wp:posOffset>193040</wp:posOffset>
            </wp:positionV>
            <wp:extent cx="3434715" cy="2009140"/>
            <wp:effectExtent l="0" t="0" r="0" b="0"/>
            <wp:wrapTight wrapText="bothSides">
              <wp:wrapPolygon edited="0">
                <wp:start x="0" y="0"/>
                <wp:lineTo x="0" y="21300"/>
                <wp:lineTo x="21444" y="21300"/>
                <wp:lineTo x="21444" y="0"/>
                <wp:lineTo x="0" y="0"/>
              </wp:wrapPolygon>
            </wp:wrapTight>
            <wp:docPr id="2" name="Imagen 2" descr="Gráfico, Gráfico de bar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Gráfico, Gráfico de barras&#10;&#10;El contenido generado por IA puede ser incorrecto."/>
                    <pic:cNvPicPr/>
                  </pic:nvPicPr>
                  <pic:blipFill>
                    <a:blip r:embed="rId9">
                      <a:extLst>
                        <a:ext uri="{28A0092B-C50C-407E-A947-70E740481C1C}">
                          <a14:useLocalDpi xmlns:a14="http://schemas.microsoft.com/office/drawing/2010/main" val="0"/>
                        </a:ext>
                      </a:extLst>
                    </a:blip>
                    <a:stretch>
                      <a:fillRect/>
                    </a:stretch>
                  </pic:blipFill>
                  <pic:spPr>
                    <a:xfrm>
                      <a:off x="0" y="0"/>
                      <a:ext cx="3434715" cy="2009140"/>
                    </a:xfrm>
                    <a:prstGeom prst="rect">
                      <a:avLst/>
                    </a:prstGeom>
                  </pic:spPr>
                </pic:pic>
              </a:graphicData>
            </a:graphic>
            <wp14:sizeRelH relativeFrom="page">
              <wp14:pctWidth>0</wp14:pctWidth>
            </wp14:sizeRelH>
            <wp14:sizeRelV relativeFrom="page">
              <wp14:pctHeight>0</wp14:pctHeight>
            </wp14:sizeRelV>
          </wp:anchor>
        </w:drawing>
      </w:r>
      <w:r w:rsidR="00377C57" w:rsidRPr="00F82631">
        <w:rPr>
          <w:rFonts w:ascii="Arial" w:hAnsi="Arial" w:cs="Arial"/>
          <w:noProof/>
        </w:rPr>
        <w:drawing>
          <wp:anchor distT="0" distB="0" distL="114300" distR="114300" simplePos="0" relativeHeight="251660288" behindDoc="0" locked="0" layoutInCell="1" allowOverlap="1" wp14:anchorId="3D0FF119" wp14:editId="51AF30AA">
            <wp:simplePos x="0" y="0"/>
            <wp:positionH relativeFrom="column">
              <wp:posOffset>-184785</wp:posOffset>
            </wp:positionH>
            <wp:positionV relativeFrom="paragraph">
              <wp:posOffset>191770</wp:posOffset>
            </wp:positionV>
            <wp:extent cx="3079750" cy="2095500"/>
            <wp:effectExtent l="0" t="0" r="6350" b="0"/>
            <wp:wrapThrough wrapText="bothSides">
              <wp:wrapPolygon edited="0">
                <wp:start x="0" y="0"/>
                <wp:lineTo x="0" y="21404"/>
                <wp:lineTo x="21511" y="21404"/>
                <wp:lineTo x="21511" y="0"/>
                <wp:lineTo x="0" y="0"/>
              </wp:wrapPolygon>
            </wp:wrapThrough>
            <wp:docPr id="1" name="Imagen 1" descr="Gráfico, Gráfico de bar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Gráfico, Gráfico de barras&#10;&#10;El contenido generado por IA puede ser incorrecto."/>
                    <pic:cNvPicPr/>
                  </pic:nvPicPr>
                  <pic:blipFill>
                    <a:blip r:embed="rId10">
                      <a:extLst>
                        <a:ext uri="{28A0092B-C50C-407E-A947-70E740481C1C}">
                          <a14:useLocalDpi xmlns:a14="http://schemas.microsoft.com/office/drawing/2010/main" val="0"/>
                        </a:ext>
                      </a:extLst>
                    </a:blip>
                    <a:stretch>
                      <a:fillRect/>
                    </a:stretch>
                  </pic:blipFill>
                  <pic:spPr>
                    <a:xfrm>
                      <a:off x="0" y="0"/>
                      <a:ext cx="3079750" cy="2095500"/>
                    </a:xfrm>
                    <a:prstGeom prst="rect">
                      <a:avLst/>
                    </a:prstGeom>
                  </pic:spPr>
                </pic:pic>
              </a:graphicData>
            </a:graphic>
            <wp14:sizeRelH relativeFrom="page">
              <wp14:pctWidth>0</wp14:pctWidth>
            </wp14:sizeRelH>
            <wp14:sizeRelV relativeFrom="page">
              <wp14:pctHeight>0</wp14:pctHeight>
            </wp14:sizeRelV>
          </wp:anchor>
        </w:drawing>
      </w:r>
    </w:p>
    <w:p w14:paraId="66E6B05B" w14:textId="69E79E88" w:rsidR="00593A21" w:rsidRPr="00F82631" w:rsidRDefault="00593A21" w:rsidP="00F82631">
      <w:pPr>
        <w:spacing w:after="0"/>
        <w:ind w:left="720"/>
        <w:rPr>
          <w:rFonts w:ascii="Arial" w:eastAsia="Arial" w:hAnsi="Arial" w:cs="Arial"/>
          <w:lang w:val="es-AR"/>
        </w:rPr>
      </w:pPr>
    </w:p>
    <w:p w14:paraId="2DA8CAD3" w14:textId="30495392" w:rsidR="00912725" w:rsidRDefault="00912725" w:rsidP="00F82631">
      <w:pPr>
        <w:spacing w:after="0"/>
        <w:rPr>
          <w:rFonts w:ascii="Arial" w:eastAsia="Arial" w:hAnsi="Arial" w:cs="Arial"/>
          <w:bCs/>
          <w:lang w:val="es-AR"/>
        </w:rPr>
      </w:pPr>
      <w:r w:rsidRPr="00912725">
        <w:rPr>
          <w:rFonts w:ascii="Arial" w:eastAsia="Arial" w:hAnsi="Arial" w:cs="Arial"/>
          <w:bCs/>
          <w:lang w:val="es-AR"/>
        </w:rPr>
        <w:t>En relación con la observación al microscopio óptico, el estudiantado manifestó gran interés y entusiasmo al poder visualizar en tiempo real las muestras teñidas mediante la proyección en el aula. Esta instancia fue especialmente valorada como una oportunidad de aprendizaje compartido, ya que permitió discutir colectivamente lo observado</w:t>
      </w:r>
      <w:r>
        <w:rPr>
          <w:rFonts w:ascii="Arial" w:eastAsia="Arial" w:hAnsi="Arial" w:cs="Arial"/>
          <w:bCs/>
          <w:lang w:val="es-AR"/>
        </w:rPr>
        <w:t xml:space="preserve">. </w:t>
      </w:r>
      <w:r w:rsidRPr="00912725">
        <w:rPr>
          <w:rFonts w:ascii="Arial" w:eastAsia="Arial" w:hAnsi="Arial" w:cs="Arial"/>
          <w:bCs/>
          <w:lang w:val="es-AR"/>
        </w:rPr>
        <w:t xml:space="preserve">Asimismo, destacaron que la actividad previa con el simulador les permitió familiarizarse con los aspectos básicos de reconocimiento de estructuras celulares, lo que facilitó la comprensión de lo observado en la instancia presencial. </w:t>
      </w:r>
    </w:p>
    <w:p w14:paraId="4065A644" w14:textId="77777777" w:rsidR="00912725" w:rsidRPr="00912725" w:rsidRDefault="00912725" w:rsidP="00F82631">
      <w:pPr>
        <w:spacing w:after="0"/>
        <w:rPr>
          <w:rFonts w:ascii="Arial" w:eastAsia="Arial" w:hAnsi="Arial" w:cs="Arial"/>
          <w:bCs/>
          <w:lang w:val="es-AR"/>
        </w:rPr>
      </w:pPr>
    </w:p>
    <w:p w14:paraId="179288A6" w14:textId="1D0D98BA" w:rsidR="00593A21" w:rsidRPr="00F82631" w:rsidRDefault="00000000" w:rsidP="00F82631">
      <w:pPr>
        <w:spacing w:after="0"/>
        <w:rPr>
          <w:rFonts w:ascii="Arial" w:eastAsia="Arial" w:hAnsi="Arial" w:cs="Arial"/>
          <w:b/>
          <w:lang w:val="es-AR"/>
        </w:rPr>
      </w:pPr>
      <w:r w:rsidRPr="00F82631">
        <w:rPr>
          <w:rFonts w:ascii="Arial" w:eastAsia="Arial" w:hAnsi="Arial" w:cs="Arial"/>
          <w:b/>
          <w:lang w:val="es-AR"/>
        </w:rPr>
        <w:t>Evaluación docente y desafíos</w:t>
      </w:r>
    </w:p>
    <w:p w14:paraId="6B90FF13" w14:textId="28B5D79A" w:rsidR="00593A21" w:rsidRPr="00F82631" w:rsidRDefault="00000000" w:rsidP="00F82631">
      <w:pPr>
        <w:spacing w:after="0"/>
        <w:rPr>
          <w:rFonts w:ascii="Arial" w:eastAsia="Arial" w:hAnsi="Arial" w:cs="Arial"/>
          <w:lang w:val="es-AR"/>
        </w:rPr>
      </w:pPr>
      <w:r w:rsidRPr="00F82631">
        <w:rPr>
          <w:rFonts w:ascii="Arial" w:eastAsia="Arial" w:hAnsi="Arial" w:cs="Arial"/>
          <w:lang w:val="es-AR"/>
        </w:rPr>
        <w:t xml:space="preserve">El equipo docente destacó el valor de los recursos digitales en la preparación previa del estudiantado, incluyendo </w:t>
      </w:r>
      <w:r w:rsidR="002B083C" w:rsidRPr="00F82631">
        <w:rPr>
          <w:rFonts w:ascii="Arial" w:eastAsia="Arial" w:hAnsi="Arial" w:cs="Arial"/>
          <w:lang w:val="es-AR"/>
        </w:rPr>
        <w:t xml:space="preserve">el uso de foros virtuales como canal de comunicación, </w:t>
      </w:r>
      <w:r w:rsidRPr="00F82631">
        <w:rPr>
          <w:rFonts w:ascii="Arial" w:eastAsia="Arial" w:hAnsi="Arial" w:cs="Arial"/>
          <w:lang w:val="es-AR"/>
        </w:rPr>
        <w:t>acompañamiento y resolución de dudas de manera asincrónica, lo que fortaleció el seguimiento individual sin necesidad de presencialidad constante. Dentro de los desafíos se destaca la necesidad de mejorar el acceso a la conectividad, brindar acompañamiento sostenido para promover la participación activa y ofrecer formación continua al cuerpo docente para el uso efectivo de TIC.</w:t>
      </w:r>
    </w:p>
    <w:p w14:paraId="349673A4" w14:textId="77777777" w:rsidR="00593A21" w:rsidRPr="00F82631" w:rsidRDefault="00593A21" w:rsidP="00F82631">
      <w:pPr>
        <w:spacing w:after="0"/>
        <w:rPr>
          <w:rFonts w:ascii="Arial" w:eastAsia="Arial" w:hAnsi="Arial" w:cs="Arial"/>
          <w:highlight w:val="white"/>
          <w:lang w:val="es-AR"/>
        </w:rPr>
      </w:pPr>
    </w:p>
    <w:p w14:paraId="0ADF183F" w14:textId="77777777" w:rsidR="00593A21" w:rsidRPr="00F82631" w:rsidRDefault="00000000" w:rsidP="00F82631">
      <w:pPr>
        <w:spacing w:after="0"/>
        <w:rPr>
          <w:rFonts w:ascii="Arial" w:eastAsia="Arial" w:hAnsi="Arial" w:cs="Arial"/>
          <w:lang w:val="es-AR"/>
        </w:rPr>
      </w:pPr>
      <w:r w:rsidRPr="00F82631">
        <w:rPr>
          <w:rFonts w:ascii="Arial" w:eastAsia="Arial" w:hAnsi="Arial" w:cs="Arial"/>
          <w:highlight w:val="white"/>
          <w:lang w:val="es-AR"/>
        </w:rPr>
        <w:t>La incorporación de laboratorios virtuales en la formación de grado en Ciencias de la Salud se presenta como una estrategia potente para democratizar el acceso al conocimiento práctico, especialmente en contextos de limitaciones estructurales y de equipamiento. Coincidimos con la literatura existente que señala que el aprendizaje activo mediado por simuladores favorece la adquisición de competencias prácticas, reduce la ansiedad ante la práctica presencial, optimiza el tiempo y representa una solución viable en contextos con limitaciones de recursos (</w:t>
      </w:r>
      <w:r w:rsidRPr="00F82631">
        <w:rPr>
          <w:rFonts w:ascii="Arial" w:eastAsia="Arial" w:hAnsi="Arial" w:cs="Arial"/>
          <w:lang w:val="es-AR"/>
        </w:rPr>
        <w:t xml:space="preserve">Barradas-Arenas et al., 2023; </w:t>
      </w:r>
      <w:r w:rsidRPr="00F82631">
        <w:rPr>
          <w:rFonts w:ascii="Arial" w:eastAsia="Arial" w:hAnsi="Arial" w:cs="Arial"/>
          <w:highlight w:val="white"/>
          <w:lang w:val="es-AR"/>
        </w:rPr>
        <w:t>Herrero et al., 202</w:t>
      </w:r>
      <w:r w:rsidRPr="00F82631">
        <w:rPr>
          <w:rFonts w:ascii="Arial" w:eastAsia="Arial" w:hAnsi="Arial" w:cs="Arial"/>
          <w:lang w:val="es-AR"/>
        </w:rPr>
        <w:t xml:space="preserve">1). En esta línea, la experiencia de Conti et al. (2021)  respalda la efectividad de una estrategia bimodal, donde los recursos virtuales no sustituyen, pero sí enriquecen y potencian las prácticas presenciales en microbiología. </w:t>
      </w:r>
    </w:p>
    <w:p w14:paraId="2BB1EF2C" w14:textId="4C0F955B" w:rsidR="00593A21" w:rsidRPr="00F82631" w:rsidRDefault="00000000" w:rsidP="00F82631">
      <w:pPr>
        <w:spacing w:after="0"/>
        <w:rPr>
          <w:rFonts w:ascii="Arial" w:eastAsia="Arial" w:hAnsi="Arial" w:cs="Arial"/>
          <w:lang w:val="es-AR"/>
        </w:rPr>
      </w:pPr>
      <w:r w:rsidRPr="00F82631">
        <w:rPr>
          <w:rFonts w:ascii="Arial" w:eastAsia="Arial" w:hAnsi="Arial" w:cs="Arial"/>
          <w:highlight w:val="white"/>
          <w:lang w:val="es-AR"/>
        </w:rPr>
        <w:t>Sin embargo, su implementación no es exenta de desafíos: se requiere inversión en conectividad, formación docente continua y rediseño curricular que reconozca la especificidad de la modalidad bimodal (</w:t>
      </w:r>
      <w:r w:rsidRPr="00F82631">
        <w:rPr>
          <w:rFonts w:ascii="Arial" w:eastAsia="Arial" w:hAnsi="Arial" w:cs="Arial"/>
          <w:lang w:val="es-AR"/>
        </w:rPr>
        <w:t>Contreras-Gelves y Carreño-Moreno, 2012)</w:t>
      </w:r>
      <w:r w:rsidRPr="00F82631">
        <w:rPr>
          <w:rFonts w:ascii="Arial" w:eastAsia="Arial" w:hAnsi="Arial" w:cs="Arial"/>
          <w:highlight w:val="white"/>
          <w:lang w:val="es-AR"/>
        </w:rPr>
        <w:t xml:space="preserve">. En nuestro caso, la experiencia fue posible gracias al compromiso docente, el trabajo en equipo y el aprovechamiento de plataformas de acceso libre. Además, estas herramientas fomentan un aprendizaje autogestionado, social y colaborativo, </w:t>
      </w:r>
      <w:r w:rsidRPr="00F82631">
        <w:rPr>
          <w:rFonts w:ascii="Arial" w:eastAsia="Arial" w:hAnsi="Arial" w:cs="Arial"/>
          <w:highlight w:val="white"/>
          <w:lang w:val="es-AR"/>
        </w:rPr>
        <w:lastRenderedPageBreak/>
        <w:t>promovido por las TIC y por la interacción entre pares mediante el intercambio de ideas, experiencias y prácticas, lo cual enriquece el proceso formativo desde una lógica colectiva y sin barreras geográficas (García Aretio, Ruiz Corbella y Domínguez Figaredo, 2007). Finalmente, los simuladores virtuales resultan altamente motivadores, ya que incorporan recursos multimediales que captan la atención del estudiante, estimulan su curiosidad y transform</w:t>
      </w:r>
      <w:r w:rsidRPr="00F82631">
        <w:rPr>
          <w:rFonts w:ascii="Arial" w:eastAsia="Arial" w:hAnsi="Arial" w:cs="Arial"/>
          <w:lang w:val="es-AR"/>
        </w:rPr>
        <w:t xml:space="preserve">an el acercamiento a los contenidos en una experiencia más atractiva, significativa y dinámica. Además, </w:t>
      </w:r>
      <w:r w:rsidR="000C559E" w:rsidRPr="00F82631">
        <w:rPr>
          <w:rFonts w:ascii="Arial" w:eastAsia="Arial" w:hAnsi="Arial" w:cs="Arial"/>
          <w:lang w:val="es-AR"/>
        </w:rPr>
        <w:t xml:space="preserve">constituyen </w:t>
      </w:r>
      <w:r w:rsidRPr="00F82631">
        <w:rPr>
          <w:rFonts w:ascii="Arial" w:eastAsia="Arial" w:hAnsi="Arial" w:cs="Arial"/>
          <w:lang w:val="es-AR"/>
        </w:rPr>
        <w:t xml:space="preserve">una </w:t>
      </w:r>
      <w:r w:rsidR="000C559E" w:rsidRPr="00F82631">
        <w:rPr>
          <w:rFonts w:ascii="Arial" w:eastAsia="Arial" w:hAnsi="Arial" w:cs="Arial"/>
          <w:lang w:val="es-AR"/>
        </w:rPr>
        <w:t xml:space="preserve">alternativa </w:t>
      </w:r>
      <w:r w:rsidRPr="00F82631">
        <w:rPr>
          <w:rFonts w:ascii="Arial" w:eastAsia="Arial" w:hAnsi="Arial" w:cs="Arial"/>
          <w:lang w:val="es-AR"/>
        </w:rPr>
        <w:t xml:space="preserve">pedagógica </w:t>
      </w:r>
      <w:r w:rsidR="000C559E" w:rsidRPr="00F82631">
        <w:rPr>
          <w:rFonts w:ascii="Arial" w:eastAsia="Arial" w:hAnsi="Arial" w:cs="Arial"/>
          <w:lang w:val="es-AR"/>
        </w:rPr>
        <w:t xml:space="preserve">valiosa e </w:t>
      </w:r>
      <w:r w:rsidRPr="00F82631">
        <w:rPr>
          <w:rFonts w:ascii="Arial" w:eastAsia="Arial" w:hAnsi="Arial" w:cs="Arial"/>
          <w:lang w:val="es-AR"/>
        </w:rPr>
        <w:t>integradora, al promover el desarrollo de múltiples competencias de manera articulada, favoreciendo el aprendizaje activo y contextualizado.</w:t>
      </w:r>
    </w:p>
    <w:p w14:paraId="64312CFF" w14:textId="77777777" w:rsidR="00593A21" w:rsidRPr="00F82631" w:rsidRDefault="00593A21" w:rsidP="00F82631">
      <w:pPr>
        <w:pBdr>
          <w:top w:val="nil"/>
          <w:left w:val="nil"/>
          <w:bottom w:val="nil"/>
          <w:right w:val="nil"/>
          <w:between w:val="nil"/>
        </w:pBdr>
        <w:spacing w:after="0"/>
        <w:rPr>
          <w:rFonts w:ascii="Arial" w:eastAsia="Arial" w:hAnsi="Arial" w:cs="Arial"/>
          <w:highlight w:val="white"/>
          <w:lang w:val="es-AR"/>
        </w:rPr>
      </w:pPr>
    </w:p>
    <w:p w14:paraId="4D980D73" w14:textId="77777777" w:rsidR="00593A21" w:rsidRPr="00F82631" w:rsidRDefault="00593A21" w:rsidP="00F82631">
      <w:pPr>
        <w:pBdr>
          <w:top w:val="nil"/>
          <w:left w:val="nil"/>
          <w:bottom w:val="nil"/>
          <w:right w:val="nil"/>
          <w:between w:val="nil"/>
        </w:pBdr>
        <w:spacing w:after="0"/>
        <w:rPr>
          <w:rFonts w:ascii="Arial" w:eastAsia="Arial" w:hAnsi="Arial" w:cs="Arial"/>
          <w:highlight w:val="white"/>
          <w:lang w:val="es-AR"/>
        </w:rPr>
      </w:pPr>
    </w:p>
    <w:p w14:paraId="5D48D44F" w14:textId="77777777" w:rsidR="00593A21" w:rsidRPr="00F82631" w:rsidRDefault="00000000" w:rsidP="00F82631">
      <w:pPr>
        <w:pBdr>
          <w:top w:val="nil"/>
          <w:left w:val="nil"/>
          <w:bottom w:val="nil"/>
          <w:right w:val="nil"/>
          <w:between w:val="nil"/>
        </w:pBdr>
        <w:spacing w:after="0"/>
        <w:rPr>
          <w:rFonts w:ascii="Arial" w:eastAsia="Arial" w:hAnsi="Arial" w:cs="Arial"/>
          <w:highlight w:val="white"/>
          <w:lang w:val="es-AR"/>
        </w:rPr>
      </w:pPr>
      <w:r w:rsidRPr="00F82631">
        <w:rPr>
          <w:rFonts w:ascii="Arial" w:eastAsia="Arial" w:hAnsi="Arial" w:cs="Arial"/>
          <w:b/>
          <w:color w:val="000000"/>
          <w:lang w:val="es-AR"/>
        </w:rPr>
        <w:t xml:space="preserve">CONCLUSIONES </w:t>
      </w:r>
    </w:p>
    <w:p w14:paraId="4E05CB3E" w14:textId="79ECF514" w:rsidR="00593A21" w:rsidRPr="00F82631" w:rsidRDefault="00000000" w:rsidP="00F82631">
      <w:pPr>
        <w:pBdr>
          <w:top w:val="nil"/>
          <w:left w:val="nil"/>
          <w:bottom w:val="nil"/>
          <w:right w:val="nil"/>
          <w:between w:val="nil"/>
        </w:pBdr>
        <w:spacing w:after="0"/>
        <w:rPr>
          <w:rFonts w:ascii="Arial" w:eastAsia="Arial" w:hAnsi="Arial" w:cs="Arial"/>
          <w:highlight w:val="white"/>
          <w:lang w:val="es-AR"/>
        </w:rPr>
      </w:pPr>
      <w:r w:rsidRPr="00F82631">
        <w:rPr>
          <w:rFonts w:ascii="Arial" w:eastAsia="Arial" w:hAnsi="Arial" w:cs="Arial"/>
          <w:highlight w:val="white"/>
          <w:lang w:val="es-AR"/>
        </w:rPr>
        <w:t xml:space="preserve">La implementación de laboratorios virtuales en un modelo de enseñanza bimodal constituye una alternativa eficaz para mejorar la calidad del aprendizaje práctico en microbiología, especialmente en entornos con infraestructura y equipamiento limitados. Esta experiencia demostró que la simulación digital mejora el desempeño y la confianza del estudiantado frente a prácticas complejas. Asimismo, la articulación entre instancias virtuales y presenciales optimiza el </w:t>
      </w:r>
      <w:r w:rsidR="000C559E" w:rsidRPr="00F82631">
        <w:rPr>
          <w:rFonts w:ascii="Arial" w:eastAsia="Arial" w:hAnsi="Arial" w:cs="Arial"/>
          <w:highlight w:val="white"/>
          <w:lang w:val="es-AR"/>
        </w:rPr>
        <w:t xml:space="preserve">uso del </w:t>
      </w:r>
      <w:r w:rsidRPr="00F82631">
        <w:rPr>
          <w:rFonts w:ascii="Arial" w:eastAsia="Arial" w:hAnsi="Arial" w:cs="Arial"/>
          <w:highlight w:val="white"/>
          <w:lang w:val="es-AR"/>
        </w:rPr>
        <w:t xml:space="preserve">tiempo </w:t>
      </w:r>
      <w:r w:rsidR="000C559E" w:rsidRPr="00F82631">
        <w:rPr>
          <w:rFonts w:ascii="Arial" w:eastAsia="Arial" w:hAnsi="Arial" w:cs="Arial"/>
          <w:highlight w:val="white"/>
          <w:lang w:val="es-AR"/>
        </w:rPr>
        <w:t xml:space="preserve">docente </w:t>
      </w:r>
      <w:r w:rsidRPr="00F82631">
        <w:rPr>
          <w:rFonts w:ascii="Arial" w:eastAsia="Arial" w:hAnsi="Arial" w:cs="Arial"/>
          <w:highlight w:val="white"/>
          <w:lang w:val="es-AR"/>
        </w:rPr>
        <w:t>y mejora la preparación previa a la práctica real.</w:t>
      </w:r>
      <w:r w:rsidRPr="00F82631">
        <w:rPr>
          <w:rFonts w:ascii="Arial" w:eastAsia="Arial" w:hAnsi="Arial" w:cs="Arial"/>
          <w:highlight w:val="white"/>
          <w:lang w:val="es-AR"/>
        </w:rPr>
        <w:br/>
        <w:t>Sostener este tipo de propuestas requiere políticas institucionales que aseguren el acceso equitativo a las TIC, la formación docente permanente y una adecuada planificación curricular. La experiencia aquí presentada constituye un aporte concreto al diseño de entornos educativos más inclusivos, adaptativos y centrados en el estudiante en el campo de las Ciencias de la Salud.</w:t>
      </w:r>
    </w:p>
    <w:p w14:paraId="4F52DC9E" w14:textId="77777777" w:rsidR="00593A21" w:rsidRPr="00F82631" w:rsidRDefault="00000000" w:rsidP="00F82631">
      <w:pPr>
        <w:pBdr>
          <w:top w:val="nil"/>
          <w:left w:val="nil"/>
          <w:bottom w:val="nil"/>
          <w:right w:val="nil"/>
          <w:between w:val="nil"/>
        </w:pBdr>
        <w:spacing w:after="0"/>
        <w:rPr>
          <w:rFonts w:ascii="Arial" w:eastAsia="Arial" w:hAnsi="Arial" w:cs="Arial"/>
          <w:b/>
          <w:color w:val="000000"/>
          <w:lang w:val="es-AR"/>
        </w:rPr>
      </w:pPr>
      <w:r w:rsidRPr="00F82631">
        <w:rPr>
          <w:rFonts w:ascii="Arial" w:eastAsia="Arial" w:hAnsi="Arial" w:cs="Arial"/>
          <w:highlight w:val="white"/>
          <w:lang w:val="es-AR"/>
        </w:rPr>
        <w:br/>
      </w:r>
      <w:r w:rsidRPr="00F82631">
        <w:rPr>
          <w:rFonts w:ascii="Arial" w:eastAsia="Arial" w:hAnsi="Arial" w:cs="Arial"/>
          <w:b/>
          <w:color w:val="000000"/>
          <w:lang w:val="es-AR"/>
        </w:rPr>
        <w:t>REFERENCIAS BIBLIOGRÁFICAS</w:t>
      </w:r>
    </w:p>
    <w:p w14:paraId="38E68419" w14:textId="77777777" w:rsidR="00593A21" w:rsidRPr="00F82631" w:rsidRDefault="00000000" w:rsidP="00D14D02">
      <w:pPr>
        <w:spacing w:after="0"/>
        <w:ind w:left="720" w:hanging="720"/>
        <w:rPr>
          <w:rFonts w:ascii="Arial" w:eastAsia="Arial" w:hAnsi="Arial" w:cs="Arial"/>
          <w:lang w:val="es-AR"/>
        </w:rPr>
      </w:pPr>
      <w:r w:rsidRPr="00F82631">
        <w:rPr>
          <w:rFonts w:ascii="Arial" w:eastAsia="Arial" w:hAnsi="Arial" w:cs="Arial"/>
          <w:lang w:val="es-AR"/>
        </w:rPr>
        <w:t xml:space="preserve">Barradas-Arenas, U., Cocón-Juárez, J., Pérez- Cruz, D. &amp; Vázquez-Aragón, M. del R. (2023). El Impacto de los Simuladores en el Aprendizaje de los Sistemas Digitales. Revista Tecnológica-Educativa Docentes 2.0, 16(1), 67-76 </w:t>
      </w:r>
      <w:hyperlink r:id="rId11">
        <w:r w:rsidRPr="00F82631">
          <w:rPr>
            <w:rFonts w:ascii="Arial" w:eastAsia="Arial" w:hAnsi="Arial" w:cs="Arial"/>
            <w:color w:val="1155CC"/>
            <w:u w:val="single"/>
            <w:lang w:val="es-AR"/>
          </w:rPr>
          <w:t>https://doi.org/10.37843/rted.v16i1.350</w:t>
        </w:r>
      </w:hyperlink>
    </w:p>
    <w:p w14:paraId="7E485151" w14:textId="77777777" w:rsidR="00D14D02" w:rsidRPr="00D14D02" w:rsidRDefault="00D14D02" w:rsidP="00D14D02">
      <w:pPr>
        <w:pBdr>
          <w:top w:val="nil"/>
          <w:left w:val="nil"/>
          <w:bottom w:val="nil"/>
          <w:right w:val="nil"/>
          <w:between w:val="nil"/>
        </w:pBdr>
        <w:spacing w:after="0"/>
        <w:ind w:left="454" w:hanging="454"/>
        <w:rPr>
          <w:rFonts w:ascii="Arial" w:eastAsia="Arial" w:hAnsi="Arial" w:cs="Arial"/>
          <w:lang w:val="es-AR"/>
        </w:rPr>
      </w:pPr>
      <w:r w:rsidRPr="00F82631">
        <w:rPr>
          <w:rFonts w:ascii="Arial" w:eastAsia="Arial" w:hAnsi="Arial" w:cs="Arial"/>
          <w:lang w:val="es-AR"/>
        </w:rPr>
        <w:t xml:space="preserve">Conti, J. P., Ruiz, M. J., Martínez Cuesta, L., &amp; Juliarena, M. A. (2021). </w:t>
      </w:r>
      <w:r w:rsidRPr="00F82631">
        <w:rPr>
          <w:rFonts w:ascii="Arial" w:eastAsia="Arial" w:hAnsi="Arial" w:cs="Arial"/>
          <w:i/>
          <w:lang w:val="es-AR"/>
        </w:rPr>
        <w:t>Laboratorio microbiológico virtual: ¿nuevas herramientas para la enseñanza presencial?</w:t>
      </w:r>
      <w:r w:rsidRPr="00F82631">
        <w:rPr>
          <w:rFonts w:ascii="Arial" w:eastAsia="Arial" w:hAnsi="Arial" w:cs="Arial"/>
          <w:lang w:val="es-AR"/>
        </w:rPr>
        <w:t xml:space="preserve"> 4° Jornadas Institucionales de Enseñanza de las Ciencias y la Tecnología. Universidad Nacional del Centro de la Provincia de Buenos Aires. </w:t>
      </w:r>
      <w:r w:rsidRPr="00D14D02">
        <w:rPr>
          <w:rFonts w:ascii="Arial" w:eastAsia="Arial" w:hAnsi="Arial" w:cs="Arial"/>
          <w:lang w:val="es-AR"/>
        </w:rPr>
        <w:t>Disponible en: https://ri.conicet.gov.ar/handle/11336/170539</w:t>
      </w:r>
    </w:p>
    <w:p w14:paraId="7E667FBB" w14:textId="77777777" w:rsidR="00593A21" w:rsidRPr="00F82631" w:rsidRDefault="00000000" w:rsidP="00D14D02">
      <w:pPr>
        <w:spacing w:after="0"/>
        <w:ind w:left="720" w:hanging="720"/>
        <w:rPr>
          <w:rFonts w:ascii="Arial" w:eastAsia="Arial" w:hAnsi="Arial" w:cs="Arial"/>
          <w:lang w:val="es-AR"/>
        </w:rPr>
      </w:pPr>
      <w:r w:rsidRPr="00F82631">
        <w:rPr>
          <w:rFonts w:ascii="Arial" w:eastAsia="Arial" w:hAnsi="Arial" w:cs="Arial"/>
          <w:lang w:val="es-AR"/>
        </w:rPr>
        <w:t xml:space="preserve">Contreras-Gelves, G.A., Carreño-Moreno, P. (2012). Simuladores en el ámbito educativo un recurso didáctico para la enseñanza. Revista de la Facultad de Ingeniería; 13(25), 107-117.  </w:t>
      </w:r>
      <w:hyperlink r:id="rId12">
        <w:r w:rsidRPr="00F82631">
          <w:rPr>
            <w:rFonts w:ascii="Arial" w:eastAsia="Arial" w:hAnsi="Arial" w:cs="Arial"/>
            <w:color w:val="1155CC"/>
            <w:u w:val="single"/>
            <w:lang w:val="es-AR"/>
          </w:rPr>
          <w:t>https://revistas.usb.edu.co/index.php/Ingenium/article/view/1313</w:t>
        </w:r>
      </w:hyperlink>
    </w:p>
    <w:p w14:paraId="3D3F222B" w14:textId="77777777" w:rsidR="00593A21" w:rsidRPr="00F82631" w:rsidRDefault="00000000" w:rsidP="00D14D02">
      <w:pPr>
        <w:spacing w:after="0"/>
        <w:ind w:left="720" w:hanging="720"/>
        <w:rPr>
          <w:rFonts w:ascii="Arial" w:eastAsia="Arial" w:hAnsi="Arial" w:cs="Arial"/>
          <w:lang w:val="es-AR"/>
        </w:rPr>
      </w:pPr>
      <w:r w:rsidRPr="00F82631">
        <w:rPr>
          <w:rFonts w:ascii="Arial" w:eastAsia="Arial" w:hAnsi="Arial" w:cs="Arial"/>
          <w:lang w:val="es-AR"/>
        </w:rPr>
        <w:t>García Aretio, L. (2017). Educación a distancia y virtual: calidad, disrupción, aprendizajes adaptativo y móvil. RIED; 20(2), 9-25. doi:</w:t>
      </w:r>
      <w:hyperlink r:id="rId13">
        <w:r w:rsidRPr="00F82631">
          <w:rPr>
            <w:rFonts w:ascii="Arial" w:eastAsia="Arial" w:hAnsi="Arial" w:cs="Arial"/>
            <w:color w:val="1155CC"/>
            <w:u w:val="single"/>
            <w:lang w:val="es-AR"/>
          </w:rPr>
          <w:t>https://doi.org/10.5944/ried.20.2.18737</w:t>
        </w:r>
      </w:hyperlink>
    </w:p>
    <w:p w14:paraId="3A0EA191" w14:textId="77777777" w:rsidR="00593A21" w:rsidRPr="00F82631" w:rsidRDefault="00000000" w:rsidP="00D14D02">
      <w:pPr>
        <w:spacing w:after="0"/>
        <w:ind w:left="720" w:hanging="720"/>
        <w:rPr>
          <w:rFonts w:ascii="Arial" w:eastAsia="Arial" w:hAnsi="Arial" w:cs="Arial"/>
          <w:lang w:val="es-AR"/>
        </w:rPr>
      </w:pPr>
      <w:r w:rsidRPr="00F82631">
        <w:rPr>
          <w:rFonts w:ascii="Arial" w:eastAsia="Arial" w:hAnsi="Arial" w:cs="Arial"/>
          <w:lang w:val="es-AR"/>
        </w:rPr>
        <w:t>García Aretio, L., Ruiz Corbella, M. y Domínguez Figaredo, D. (2007). De la educación a distancia a la educación virtual. Barcelona, España: Ariel S.A.</w:t>
      </w:r>
    </w:p>
    <w:p w14:paraId="5E58F843" w14:textId="77777777" w:rsidR="00593A21" w:rsidRPr="00F82631" w:rsidRDefault="00000000" w:rsidP="00F82631">
      <w:pPr>
        <w:pBdr>
          <w:top w:val="nil"/>
          <w:left w:val="nil"/>
          <w:bottom w:val="nil"/>
          <w:right w:val="nil"/>
          <w:between w:val="nil"/>
        </w:pBdr>
        <w:spacing w:after="0"/>
        <w:ind w:left="454" w:hanging="454"/>
        <w:rPr>
          <w:rFonts w:ascii="Arial" w:eastAsia="Arial" w:hAnsi="Arial" w:cs="Arial"/>
          <w:lang w:val="es-AR"/>
        </w:rPr>
      </w:pPr>
      <w:r w:rsidRPr="00F82631">
        <w:rPr>
          <w:rFonts w:ascii="Arial" w:eastAsia="Arial" w:hAnsi="Arial" w:cs="Arial"/>
          <w:lang w:val="es-AR"/>
        </w:rPr>
        <w:t xml:space="preserve">Herrero, M,L., Serrano, M.E., 1, Saguez, V., Simón, M., Chirino, A. (2021). Experiencia con simulador. Una actividad complementaria en la enseñanza de la física.  Revista de enseñanza de la física; 33, 343-348. </w:t>
      </w:r>
      <w:hyperlink r:id="rId14">
        <w:r w:rsidRPr="00F82631">
          <w:rPr>
            <w:rFonts w:ascii="Arial" w:eastAsia="Arial" w:hAnsi="Arial" w:cs="Arial"/>
            <w:color w:val="1155CC"/>
            <w:u w:val="single"/>
            <w:lang w:val="es-AR"/>
          </w:rPr>
          <w:t>https://revistas.unc.edu.ar/index.php/revistaEF/article/view/35582/35717</w:t>
        </w:r>
      </w:hyperlink>
    </w:p>
    <w:p w14:paraId="15DC341D" w14:textId="75DA64FC" w:rsidR="00593A21" w:rsidRPr="00912725" w:rsidRDefault="00000000" w:rsidP="00F82631">
      <w:pPr>
        <w:pBdr>
          <w:top w:val="nil"/>
          <w:left w:val="nil"/>
          <w:bottom w:val="nil"/>
          <w:right w:val="nil"/>
          <w:between w:val="nil"/>
        </w:pBdr>
        <w:spacing w:after="0"/>
        <w:ind w:left="454" w:hanging="454"/>
        <w:rPr>
          <w:rFonts w:ascii="Arial" w:eastAsia="Arial" w:hAnsi="Arial" w:cs="Arial"/>
          <w:highlight w:val="white"/>
          <w:lang w:val="es-AR"/>
        </w:rPr>
      </w:pPr>
      <w:r w:rsidRPr="00F82631">
        <w:rPr>
          <w:rFonts w:ascii="Arial" w:eastAsia="Arial" w:hAnsi="Arial" w:cs="Arial"/>
          <w:highlight w:val="white"/>
        </w:rPr>
        <w:t>Michigan State University Board of Trustees (2021).</w:t>
      </w:r>
      <w:r w:rsidRPr="00F82631">
        <w:rPr>
          <w:rFonts w:ascii="Arial" w:eastAsia="Arial" w:hAnsi="Arial" w:cs="Arial"/>
          <w:i/>
          <w:highlight w:val="white"/>
        </w:rPr>
        <w:t>Virtual interactive bacteriology laboratory</w:t>
      </w:r>
      <w:r w:rsidRPr="00F82631">
        <w:rPr>
          <w:rFonts w:ascii="Arial" w:eastAsia="Arial" w:hAnsi="Arial" w:cs="Arial"/>
          <w:highlight w:val="white"/>
        </w:rPr>
        <w:t xml:space="preserve">. </w:t>
      </w:r>
      <w:r w:rsidRPr="00F82631">
        <w:rPr>
          <w:rFonts w:ascii="Arial" w:eastAsia="Arial" w:hAnsi="Arial" w:cs="Arial"/>
          <w:highlight w:val="white"/>
          <w:lang w:val="es-AR"/>
        </w:rPr>
        <w:t xml:space="preserve">Msu.edu. Recuperado el 28 de mayo de 2025, de </w:t>
      </w:r>
      <w:hyperlink r:id="rId15">
        <w:r w:rsidRPr="00F82631">
          <w:rPr>
            <w:rFonts w:ascii="Arial" w:eastAsia="Arial" w:hAnsi="Arial" w:cs="Arial"/>
            <w:color w:val="1155CC"/>
            <w:highlight w:val="white"/>
            <w:u w:val="single"/>
            <w:lang w:val="es-AR"/>
          </w:rPr>
          <w:t>https://learn.chm.msu.edu/vibl/</w:t>
        </w:r>
      </w:hyperlink>
    </w:p>
    <w:sectPr w:rsidR="00593A21" w:rsidRPr="00912725" w:rsidSect="00F82631">
      <w:headerReference w:type="even" r:id="rId16"/>
      <w:headerReference w:type="default" r:id="rId17"/>
      <w:footerReference w:type="even" r:id="rId18"/>
      <w:footerReference w:type="default" r:id="rId19"/>
      <w:headerReference w:type="first" r:id="rId20"/>
      <w:footerReference w:type="first" r:id="rId21"/>
      <w:pgSz w:w="11906" w:h="16838" w:code="9"/>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9D52B" w14:textId="77777777" w:rsidR="00BF0A84" w:rsidRDefault="00BF0A84">
      <w:pPr>
        <w:spacing w:after="0"/>
      </w:pPr>
      <w:r>
        <w:separator/>
      </w:r>
    </w:p>
  </w:endnote>
  <w:endnote w:type="continuationSeparator" w:id="0">
    <w:p w14:paraId="54812B18" w14:textId="77777777" w:rsidR="00BF0A84" w:rsidRDefault="00BF0A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oppins">
    <w:charset w:val="00"/>
    <w:family w:val="auto"/>
    <w:pitch w:val="variable"/>
    <w:sig w:usb0="00008007" w:usb1="00000000" w:usb2="00000000" w:usb3="00000000" w:csb0="00000093" w:csb1="00000000"/>
    <w:embedRegular r:id="rId1" w:fontKey="{065C0CE2-785E-477D-AA56-3E9B788D8FD0}"/>
    <w:embedBold r:id="rId2" w:fontKey="{18C73266-870D-4DA5-A327-FF32ED646438}"/>
  </w:font>
  <w:font w:name="Poppins ExtraBold">
    <w:charset w:val="00"/>
    <w:family w:val="auto"/>
    <w:pitch w:val="variable"/>
    <w:sig w:usb0="00008007" w:usb1="00000000" w:usb2="00000000" w:usb3="00000000" w:csb0="00000093" w:csb1="00000000"/>
    <w:embedRegular r:id="rId3" w:fontKey="{FFC90F7B-D90A-4D66-B43F-439CDE062ECF}"/>
    <w:embedBold r:id="rId4" w:fontKey="{6A69AB26-5A4A-4BDA-8661-189704091E98}"/>
  </w:font>
  <w:font w:name="Times New Roman">
    <w:panose1 w:val="02020603050405020304"/>
    <w:charset w:val="00"/>
    <w:family w:val="roman"/>
    <w:pitch w:val="variable"/>
    <w:sig w:usb0="E0002EFF" w:usb1="C000785B" w:usb2="00000009" w:usb3="00000000" w:csb0="000001FF" w:csb1="00000000"/>
  </w:font>
  <w:font w:name="Poppins Medium">
    <w:charset w:val="00"/>
    <w:family w:val="auto"/>
    <w:pitch w:val="variable"/>
    <w:sig w:usb0="00008007" w:usb1="00000000" w:usb2="00000000" w:usb3="00000000" w:csb0="00000093" w:csb1="00000000"/>
    <w:embedBold r:id="rId5" w:fontKey="{D938CE11-987C-4968-8B6F-65C000D8A4B9}"/>
  </w:font>
  <w:font w:name="Georgia">
    <w:panose1 w:val="02040502050405020303"/>
    <w:charset w:val="00"/>
    <w:family w:val="roman"/>
    <w:pitch w:val="variable"/>
    <w:sig w:usb0="00000287" w:usb1="00000000" w:usb2="00000000" w:usb3="00000000" w:csb0="0000009F" w:csb1="00000000"/>
    <w:embedRegular r:id="rId6" w:fontKey="{606AA713-5AE0-422A-AC2A-9F662456CABE}"/>
    <w:embedItalic r:id="rId7" w:fontKey="{31262917-D9A3-43AB-8EAA-942D9410BE86}"/>
  </w:font>
  <w:font w:name="Calibri">
    <w:panose1 w:val="020F0502020204030204"/>
    <w:charset w:val="00"/>
    <w:family w:val="swiss"/>
    <w:pitch w:val="variable"/>
    <w:sig w:usb0="E4002EFF" w:usb1="C200247B" w:usb2="00000009" w:usb3="00000000" w:csb0="000001FF" w:csb1="00000000"/>
    <w:embedRegular r:id="rId8" w:fontKey="{BC4EF7B7-AFDF-4303-A1E9-727975C958B4}"/>
    <w:embedBold r:id="rId9" w:fontKey="{5492713E-5C01-4BB1-A1F9-EC3EE6D23035}"/>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5B5D73E8-B3C9-4FE6-B8EA-F4AF8E5B6E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43CC4" w14:textId="77777777" w:rsidR="00593A21" w:rsidRDefault="00593A21">
    <w:pPr>
      <w:pBdr>
        <w:top w:val="nil"/>
        <w:left w:val="nil"/>
        <w:bottom w:val="nil"/>
        <w:right w:val="nil"/>
        <w:between w:val="nil"/>
      </w:pBdr>
      <w:tabs>
        <w:tab w:val="center" w:pos="4419"/>
        <w:tab w:val="right" w:pos="8838"/>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49FA2" w14:textId="77777777" w:rsidR="00593A21" w:rsidRDefault="00000000">
    <w:pPr>
      <w:pBdr>
        <w:top w:val="nil"/>
        <w:left w:val="nil"/>
        <w:bottom w:val="nil"/>
        <w:right w:val="nil"/>
        <w:between w:val="nil"/>
      </w:pBdr>
      <w:tabs>
        <w:tab w:val="center" w:pos="4419"/>
        <w:tab w:val="right" w:pos="8838"/>
      </w:tabs>
      <w:spacing w:after="0"/>
      <w:ind w:right="-285"/>
      <w:jc w:val="right"/>
      <w:rPr>
        <w:color w:val="000000"/>
      </w:rPr>
    </w:pPr>
    <w:r>
      <w:rPr>
        <w:color w:val="000000"/>
        <w:highlight w:val="white"/>
      </w:rPr>
      <w:t xml:space="preserve">   Requisitos para el Trabajo extendido </w:t>
    </w:r>
    <w:r>
      <w:rPr>
        <w:color w:val="000000"/>
      </w:rPr>
      <w:t>-</w:t>
    </w:r>
    <w:r>
      <w:rPr>
        <w:b/>
        <w:color w:val="000000"/>
      </w:rPr>
      <w:t xml:space="preserve"> </w:t>
    </w:r>
    <w:r>
      <w:rPr>
        <w:b/>
        <w:color w:val="000000"/>
      </w:rPr>
      <w:fldChar w:fldCharType="begin"/>
    </w:r>
    <w:r>
      <w:rPr>
        <w:b/>
        <w:color w:val="000000"/>
      </w:rPr>
      <w:instrText>PAGE</w:instrText>
    </w:r>
    <w:r>
      <w:rPr>
        <w:b/>
        <w:color w:val="000000"/>
      </w:rPr>
      <w:fldChar w:fldCharType="separate"/>
    </w:r>
    <w:r w:rsidR="001B2B19">
      <w:rPr>
        <w:b/>
        <w:noProof/>
        <w:color w:val="000000"/>
      </w:rPr>
      <w:t>1</w:t>
    </w:r>
    <w:r>
      <w:rPr>
        <w:b/>
        <w:color w:val="000000"/>
      </w:rPr>
      <w:fldChar w:fldCharType="end"/>
    </w:r>
    <w:r>
      <w:rPr>
        <w:noProof/>
      </w:rPr>
      <w:drawing>
        <wp:anchor distT="0" distB="0" distL="0" distR="0" simplePos="0" relativeHeight="251659264" behindDoc="1" locked="0" layoutInCell="1" hidden="0" allowOverlap="1" wp14:anchorId="23AB9DAC" wp14:editId="09CCA50E">
          <wp:simplePos x="0" y="0"/>
          <wp:positionH relativeFrom="column">
            <wp:posOffset>-165733</wp:posOffset>
          </wp:positionH>
          <wp:positionV relativeFrom="paragraph">
            <wp:posOffset>45085</wp:posOffset>
          </wp:positionV>
          <wp:extent cx="5534025" cy="140335"/>
          <wp:effectExtent l="0" t="0" r="0" b="0"/>
          <wp:wrapNone/>
          <wp:docPr id="2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CF33" w14:textId="77777777" w:rsidR="00593A21" w:rsidRDefault="00593A21">
    <w:pPr>
      <w:pBdr>
        <w:top w:val="nil"/>
        <w:left w:val="nil"/>
        <w:bottom w:val="nil"/>
        <w:right w:val="nil"/>
        <w:between w:val="nil"/>
      </w:pBdr>
      <w:tabs>
        <w:tab w:val="center" w:pos="4419"/>
        <w:tab w:val="right" w:pos="8838"/>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A12B8" w14:textId="77777777" w:rsidR="00BF0A84" w:rsidRDefault="00BF0A84">
      <w:pPr>
        <w:spacing w:after="0"/>
      </w:pPr>
      <w:r>
        <w:separator/>
      </w:r>
    </w:p>
  </w:footnote>
  <w:footnote w:type="continuationSeparator" w:id="0">
    <w:p w14:paraId="530A07C4" w14:textId="77777777" w:rsidR="00BF0A84" w:rsidRDefault="00BF0A8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F7342" w14:textId="77777777" w:rsidR="00593A21" w:rsidRDefault="00593A21">
    <w:pPr>
      <w:pBdr>
        <w:top w:val="nil"/>
        <w:left w:val="nil"/>
        <w:bottom w:val="nil"/>
        <w:right w:val="nil"/>
        <w:between w:val="nil"/>
      </w:pBdr>
      <w:tabs>
        <w:tab w:val="center" w:pos="4419"/>
        <w:tab w:val="right" w:pos="8838"/>
      </w:tabs>
      <w:spacing w:after="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92011" w14:textId="77777777" w:rsidR="00593A21" w:rsidRDefault="00000000">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58240" behindDoc="0" locked="0" layoutInCell="1" hidden="0" allowOverlap="1" wp14:anchorId="2CF727AF" wp14:editId="20BA3C64">
          <wp:simplePos x="0" y="0"/>
          <wp:positionH relativeFrom="column">
            <wp:posOffset>-838199</wp:posOffset>
          </wp:positionH>
          <wp:positionV relativeFrom="paragraph">
            <wp:posOffset>-250189</wp:posOffset>
          </wp:positionV>
          <wp:extent cx="1476375" cy="704867"/>
          <wp:effectExtent l="0" t="0" r="0" b="0"/>
          <wp:wrapNone/>
          <wp:docPr id="215" name="image2.jpg" descr="C:\Users\UV-LUCIANA\AppData\Local\Microsoft\Windows\INetCache\Content.Word\anuncio cambio de fecha-29.jpg"/>
          <wp:cNvGraphicFramePr/>
          <a:graphic xmlns:a="http://schemas.openxmlformats.org/drawingml/2006/main">
            <a:graphicData uri="http://schemas.openxmlformats.org/drawingml/2006/picture">
              <pic:pic xmlns:pic="http://schemas.openxmlformats.org/drawingml/2006/picture">
                <pic:nvPicPr>
                  <pic:cNvPr id="0" name="image2.jpg" descr="C:\Users\UV-LUCIANA\AppData\Local\Microsoft\Windows\INetCache\Content.Word\anuncio cambio de fecha-29.jpg"/>
                  <pic:cNvPicPr preferRelativeResize="0"/>
                </pic:nvPicPr>
                <pic:blipFill>
                  <a:blip r:embed="rId1"/>
                  <a:srcRect/>
                  <a:stretch>
                    <a:fillRect/>
                  </a:stretch>
                </pic:blipFill>
                <pic:spPr>
                  <a:xfrm>
                    <a:off x="0" y="0"/>
                    <a:ext cx="1476375" cy="704867"/>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C3EF1" w14:textId="77777777" w:rsidR="00593A21" w:rsidRDefault="00593A21">
    <w:pPr>
      <w:pBdr>
        <w:top w:val="nil"/>
        <w:left w:val="nil"/>
        <w:bottom w:val="nil"/>
        <w:right w:val="nil"/>
        <w:between w:val="nil"/>
      </w:pBdr>
      <w:tabs>
        <w:tab w:val="center" w:pos="4419"/>
        <w:tab w:val="right" w:pos="8838"/>
      </w:tabs>
      <w:spacing w:after="0"/>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A21"/>
    <w:rsid w:val="000C559E"/>
    <w:rsid w:val="001002C3"/>
    <w:rsid w:val="00112A13"/>
    <w:rsid w:val="001B2B19"/>
    <w:rsid w:val="002B083C"/>
    <w:rsid w:val="00377C57"/>
    <w:rsid w:val="004F66B9"/>
    <w:rsid w:val="00593A21"/>
    <w:rsid w:val="008357E2"/>
    <w:rsid w:val="008472EB"/>
    <w:rsid w:val="00847625"/>
    <w:rsid w:val="008F0A79"/>
    <w:rsid w:val="00912725"/>
    <w:rsid w:val="00A408E6"/>
    <w:rsid w:val="00B5200F"/>
    <w:rsid w:val="00B646DF"/>
    <w:rsid w:val="00BF0A84"/>
    <w:rsid w:val="00D14D02"/>
    <w:rsid w:val="00E55240"/>
    <w:rsid w:val="00ED437A"/>
    <w:rsid w:val="00F03DC0"/>
    <w:rsid w:val="00F82631"/>
    <w:rsid w:val="00FD4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73247"/>
  <w15:docId w15:val="{F7FD4D1F-0690-4FD7-BA5E-C5182A666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Poppins" w:hAnsi="Poppins" w:cs="Poppins"/>
        <w:sz w:val="22"/>
        <w:szCs w:val="22"/>
        <w:lang w:val="en-US"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semiHidden/>
    <w:unhideWhenUsed/>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semiHidden/>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rPr>
  </w:style>
  <w:style w:type="paragraph" w:customStyle="1" w:styleId="CUADRO-autores">
    <w:name w:val="CUADRO-autores"/>
    <w:basedOn w:val="Normal"/>
    <w:qFormat/>
    <w:rsid w:val="00B94F1A"/>
    <w:pPr>
      <w:spacing w:after="0"/>
      <w:jc w:val="both"/>
    </w:pPr>
    <w:rPr>
      <w:rFonts w:ascii="Arial" w:eastAsiaTheme="minorHAnsi" w:hAnsi="Arial" w:cs="Arial"/>
      <w:szCs w:val="20"/>
    </w:rPr>
  </w:style>
  <w:style w:type="paragraph" w:customStyle="1" w:styleId="mesa-titulos-cuerpo">
    <w:name w:val="mesa-titulos-cuerpo"/>
    <w:basedOn w:val="Normal"/>
    <w:qFormat/>
    <w:rsid w:val="00B94F1A"/>
    <w:pPr>
      <w:spacing w:after="0"/>
    </w:pPr>
    <w:rPr>
      <w:rFonts w:ascii="Arial" w:eastAsiaTheme="minorHAnsi" w:hAnsi="Arial" w:cs="Arial"/>
      <w:b/>
    </w:rPr>
  </w:style>
  <w:style w:type="paragraph" w:customStyle="1" w:styleId="bibliografia">
    <w:name w:val="bibliografia"/>
    <w:basedOn w:val="mesas-cuerpo"/>
    <w:qFormat/>
    <w:rsid w:val="00B94F1A"/>
    <w:pPr>
      <w:spacing w:after="60"/>
      <w:ind w:left="454" w:hanging="454"/>
      <w:jc w:val="left"/>
    </w:pPr>
    <w:rPr>
      <w:sz w:val="20"/>
      <w:szCs w:val="18"/>
    </w:rPr>
  </w:style>
  <w:style w:type="table" w:customStyle="1" w:styleId="a1">
    <w:basedOn w:val="TableNormal0"/>
    <w:pPr>
      <w:spacing w:after="0"/>
    </w:pPr>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eorgina.oberto@unc.edu.ar" TargetMode="External"/><Relationship Id="rId13" Type="http://schemas.openxmlformats.org/officeDocument/2006/relationships/hyperlink" Target="https://doi.org/10.5944/ried.20.2.18737"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lucia.baraquet@unc.edu.ar" TargetMode="External"/><Relationship Id="rId12" Type="http://schemas.openxmlformats.org/officeDocument/2006/relationships/hyperlink" Target="https://revistas.usb.edu.co/index.php/Ingenium/article/view/1313"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7843/rted.v16i1.350" TargetMode="External"/><Relationship Id="rId5" Type="http://schemas.openxmlformats.org/officeDocument/2006/relationships/footnotes" Target="footnotes.xml"/><Relationship Id="rId15" Type="http://schemas.openxmlformats.org/officeDocument/2006/relationships/hyperlink" Target="https://learn.chm.msu.edu/vibl/"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revistas.unc.edu.ar/index.php/revistaEF/article/view/35582/35717"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PKqyfdiQSUgPVr8/T5Ojh1qhdA==">CgMxLjA4AHIhMXUwYk15a002aS04OW83Q0lPQkxfc1pRQ0pfYXVRVmdx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Pages>
  <Words>2084</Words>
  <Characters>11880</Characters>
  <Application>Microsoft Office Word</Application>
  <DocSecurity>0</DocSecurity>
  <Lines>99</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Revisora</cp:lastModifiedBy>
  <cp:revision>11</cp:revision>
  <dcterms:created xsi:type="dcterms:W3CDTF">2025-05-29T13:16:00Z</dcterms:created>
  <dcterms:modified xsi:type="dcterms:W3CDTF">2025-06-07T22:42:00Z</dcterms:modified>
</cp:coreProperties>
</file>