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14:paraId="4E26BAA6"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1ECA3382" w14:textId="79222187" w:rsidR="00B94F1A" w:rsidRPr="000300B4" w:rsidRDefault="000300B4" w:rsidP="000300B4">
            <w:pPr>
              <w:pStyle w:val="Heading1"/>
              <w:rPr>
                <w:rFonts w:ascii="Arial" w:hAnsi="Arial" w:cs="Arial"/>
                <w:color w:val="auto"/>
                <w:sz w:val="22"/>
                <w:szCs w:val="22"/>
                <w:lang w:val="es-ES"/>
              </w:rPr>
            </w:pPr>
            <w:r w:rsidRPr="000300B4">
              <w:rPr>
                <w:rFonts w:ascii="Arial" w:hAnsi="Arial" w:cs="Arial"/>
                <w:color w:val="auto"/>
                <w:sz w:val="22"/>
                <w:szCs w:val="22"/>
                <w:lang w:val="es-ES"/>
              </w:rPr>
              <w:t>INNOVACIÓN Y SOSTENIBILIDAD EN LA GESTIÓN DE AMBIENTES</w:t>
            </w:r>
            <w:r>
              <w:rPr>
                <w:rFonts w:ascii="Arial" w:hAnsi="Arial" w:cs="Arial"/>
                <w:color w:val="auto"/>
                <w:sz w:val="22"/>
                <w:szCs w:val="22"/>
                <w:lang w:val="es-ES"/>
              </w:rPr>
              <w:t xml:space="preserve"> </w:t>
            </w:r>
            <w:r w:rsidRPr="000300B4">
              <w:rPr>
                <w:rFonts w:ascii="Arial" w:hAnsi="Arial" w:cs="Arial"/>
                <w:color w:val="auto"/>
                <w:sz w:val="22"/>
                <w:szCs w:val="22"/>
                <w:lang w:val="es-ES"/>
              </w:rPr>
              <w:t>VIRTUALES</w:t>
            </w:r>
            <w:r w:rsidR="00657670">
              <w:rPr>
                <w:rFonts w:ascii="Arial" w:hAnsi="Arial" w:cs="Arial"/>
                <w:color w:val="auto"/>
                <w:sz w:val="22"/>
                <w:szCs w:val="22"/>
                <w:lang w:val="es-ES"/>
              </w:rPr>
              <w:t xml:space="preserve"> DE APRENDIZAJE</w:t>
            </w:r>
            <w:r w:rsidRPr="000300B4">
              <w:rPr>
                <w:rFonts w:ascii="Arial" w:hAnsi="Arial" w:cs="Arial"/>
                <w:color w:val="auto"/>
                <w:sz w:val="22"/>
                <w:szCs w:val="22"/>
                <w:lang w:val="es-ES"/>
              </w:rPr>
              <w:t>: UNA REVISIÓN SISTEMÁTICA PARA UNA EDUCACIÓN INCLUSIVA Y EFECTIVA</w:t>
            </w:r>
          </w:p>
        </w:tc>
      </w:tr>
      <w:tr w:rsidR="00B94F1A" w14:paraId="4B8BA419"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3ED34F07" w14:textId="78B0E240" w:rsidR="00B94F1A" w:rsidRPr="00556328" w:rsidRDefault="000300B4" w:rsidP="00B94F1A">
            <w:pPr>
              <w:pStyle w:val="CUADRO-autores"/>
            </w:pPr>
            <w:r>
              <w:rPr>
                <w:lang w:val="pt-BR"/>
              </w:rPr>
              <w:t xml:space="preserve">PICÓN, GERARDO ARMANDO </w:t>
            </w:r>
            <w:r w:rsidR="00B94F1A" w:rsidRPr="00257132">
              <w:rPr>
                <w:lang w:val="pt-BR"/>
              </w:rPr>
              <w:t>– email:</w:t>
            </w:r>
            <w:r>
              <w:rPr>
                <w:lang w:val="pt-BR"/>
              </w:rPr>
              <w:t xml:space="preserve"> </w:t>
            </w:r>
            <w:r w:rsidRPr="000300B4">
              <w:rPr>
                <w:lang w:val="pt-BR"/>
              </w:rPr>
              <w:t>gpiconoli56@gmail.com</w:t>
            </w:r>
          </w:p>
        </w:tc>
      </w:tr>
      <w:tr w:rsidR="00B94F1A" w14:paraId="2A207B30"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472323C8" w14:textId="7C2EEDB0" w:rsidR="00B94F1A" w:rsidRPr="00B11E29" w:rsidRDefault="000300B4" w:rsidP="00EE38D7">
            <w:pPr>
              <w:pStyle w:val="CUADRO-autores"/>
              <w:jc w:val="left"/>
            </w:pPr>
            <w:r>
              <w:t xml:space="preserve">UNIVERSIDAD PRIVADA MARÍA SERRANA </w:t>
            </w:r>
          </w:p>
        </w:tc>
      </w:tr>
      <w:tr w:rsidR="00B94F1A" w14:paraId="391B4379"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3B229783" w14:textId="72D8B8B0" w:rsidR="00B94F1A" w:rsidRPr="000300B4" w:rsidRDefault="000300B4" w:rsidP="00EE38D7">
            <w:pPr>
              <w:pStyle w:val="CUADRO-autores"/>
              <w:jc w:val="left"/>
              <w:rPr>
                <w:lang w:val="es-ES"/>
              </w:rPr>
            </w:pPr>
            <w:r w:rsidRPr="000300B4">
              <w:t>EJE 11: GESTIÓN DE AMBIENTES EDUCATIVOS VIRTUALES</w:t>
            </w:r>
          </w:p>
        </w:tc>
      </w:tr>
    </w:tbl>
    <w:p w14:paraId="65F84C5A" w14:textId="77777777" w:rsidR="00B94F1A" w:rsidRDefault="00B94F1A" w:rsidP="00B94F1A">
      <w:pPr>
        <w:spacing w:after="120"/>
        <w:rPr>
          <w:rFonts w:ascii="Arial" w:eastAsia="Arial" w:hAnsi="Arial" w:cs="Arial"/>
          <w:i/>
        </w:rPr>
      </w:pPr>
    </w:p>
    <w:p w14:paraId="0195F8E8" w14:textId="679CB2FF" w:rsidR="00B94F1A" w:rsidRPr="00B94F1A" w:rsidRDefault="00B94F1A" w:rsidP="00B94F1A">
      <w:pPr>
        <w:pBdr>
          <w:top w:val="nil"/>
          <w:left w:val="nil"/>
          <w:bottom w:val="nil"/>
          <w:right w:val="nil"/>
          <w:between w:val="nil"/>
        </w:pBdr>
        <w:spacing w:after="0"/>
        <w:rPr>
          <w:rFonts w:ascii="Arial" w:hAnsi="Arial" w:cs="Arial"/>
          <w:color w:val="000000"/>
        </w:rPr>
      </w:pPr>
      <w:r w:rsidRPr="00B94F1A">
        <w:rPr>
          <w:rFonts w:ascii="Arial" w:eastAsia="Aptos" w:hAnsi="Arial" w:cs="Arial"/>
          <w:color w:val="000000"/>
        </w:rPr>
        <w:t>PALABRAS CLAVE</w:t>
      </w:r>
      <w:r w:rsidR="00D12740">
        <w:rPr>
          <w:rFonts w:ascii="Arial" w:eastAsia="Aptos" w:hAnsi="Arial" w:cs="Arial"/>
          <w:color w:val="000000"/>
        </w:rPr>
        <w:t xml:space="preserve">: </w:t>
      </w:r>
      <w:r w:rsidR="00D12740" w:rsidRPr="00034396">
        <w:rPr>
          <w:rFonts w:ascii="Times New Roman" w:hAnsi="Times New Roman" w:cs="Times New Roman"/>
          <w:lang w:val="es-ES"/>
        </w:rPr>
        <w:t>AMBIENTES VIRTUALES, INNOVACIÓN EDUCATIVA, EDUCACIÓN DIGITAL.</w:t>
      </w:r>
      <w:r w:rsidR="00D12740" w:rsidRPr="00B94F1A">
        <w:rPr>
          <w:rFonts w:ascii="Arial" w:eastAsia="Aptos" w:hAnsi="Arial" w:cs="Arial"/>
          <w:color w:val="000000"/>
        </w:rPr>
        <w:t xml:space="preserve"> </w:t>
      </w:r>
    </w:p>
    <w:p w14:paraId="717A9872" w14:textId="77777777" w:rsidR="00B94F1A" w:rsidRDefault="00B94F1A" w:rsidP="00B94F1A">
      <w:pPr>
        <w:spacing w:after="120"/>
        <w:rPr>
          <w:rFonts w:ascii="Arial" w:eastAsia="Arial" w:hAnsi="Arial" w:cs="Arial"/>
          <w:i/>
        </w:rPr>
      </w:pPr>
    </w:p>
    <w:p w14:paraId="07374827" w14:textId="77777777" w:rsidR="00B94F1A" w:rsidRPr="00657670" w:rsidRDefault="00B94F1A" w:rsidP="00B94F1A">
      <w:pPr>
        <w:pStyle w:val="mesa-titulos-cuerpo"/>
        <w:rPr>
          <w:lang w:val="es-ES"/>
        </w:rPr>
      </w:pPr>
      <w:r w:rsidRPr="00657670">
        <w:rPr>
          <w:lang w:val="es-ES"/>
        </w:rPr>
        <w:t>INTRODUCCIÓN</w:t>
      </w:r>
    </w:p>
    <w:p w14:paraId="3A070815" w14:textId="77777777" w:rsidR="00D12740" w:rsidRPr="00ED670E" w:rsidRDefault="00D12740" w:rsidP="00ED670E">
      <w:pPr>
        <w:jc w:val="both"/>
        <w:rPr>
          <w:rFonts w:ascii="Arial" w:hAnsi="Arial" w:cs="Arial"/>
          <w:lang w:val="es-ES"/>
        </w:rPr>
      </w:pPr>
      <w:r w:rsidRPr="00ED670E">
        <w:rPr>
          <w:rFonts w:ascii="Arial" w:hAnsi="Arial" w:cs="Arial"/>
          <w:lang w:val="es-ES"/>
        </w:rPr>
        <w:t xml:space="preserve">La expansión de los ambientes virtuales de aprendizaje (AVA) ha transformado el panorama educativo contemporáneo, exigiendo nuevos enfoques de gestión, innovación pedagógica y sostenibilidad tecnológica (Báez, 2023). Estos entornos no solo responden a demandas de flexibilidad y acceso, sino también a la necesidad de garantizar procesos educativos inclusivos, donde las brechas digitales y pedagógicas sean superadas mediante estrategias bien planificadas (Vera Azuara et al., 2025; </w:t>
      </w:r>
      <w:proofErr w:type="spellStart"/>
      <w:r w:rsidRPr="00ED670E">
        <w:rPr>
          <w:rFonts w:ascii="Arial" w:hAnsi="Arial" w:cs="Arial"/>
          <w:lang w:val="es-ES"/>
        </w:rPr>
        <w:t>Damacen</w:t>
      </w:r>
      <w:proofErr w:type="spellEnd"/>
      <w:r w:rsidRPr="00ED670E">
        <w:rPr>
          <w:rFonts w:ascii="Arial" w:hAnsi="Arial" w:cs="Arial"/>
          <w:lang w:val="es-ES"/>
        </w:rPr>
        <w:t xml:space="preserve"> Oblitas &amp; Teves Quispe, 2025; Roma, 2021).</w:t>
      </w:r>
    </w:p>
    <w:p w14:paraId="3ACDDD81" w14:textId="77777777" w:rsidR="00D12740" w:rsidRPr="00ED670E" w:rsidRDefault="00D12740" w:rsidP="00ED670E">
      <w:pPr>
        <w:jc w:val="both"/>
        <w:rPr>
          <w:rFonts w:ascii="Arial" w:hAnsi="Arial" w:cs="Arial"/>
          <w:lang w:val="es-ES"/>
        </w:rPr>
      </w:pPr>
      <w:r w:rsidRPr="00ED670E">
        <w:rPr>
          <w:rFonts w:ascii="Arial" w:hAnsi="Arial" w:cs="Arial"/>
          <w:lang w:val="es-ES"/>
        </w:rPr>
        <w:t>La gestión efectiva de los AVA implica una articulación entre recursos digitales, metodologías activas, formación docente y políticas institucionales que favorezcan la equidad, la innovación y la continuidad educativa (UNESCO, 2022). En este contexto, resulta pertinente revisar sistemáticamente la literatura existente para identificar enfoques y prácticas exitosas que puedan orientar futuras intervenciones.</w:t>
      </w:r>
    </w:p>
    <w:p w14:paraId="75B80431" w14:textId="77777777" w:rsidR="00B94F1A" w:rsidRPr="00ED670E" w:rsidRDefault="00B94F1A" w:rsidP="00B94F1A">
      <w:pPr>
        <w:pBdr>
          <w:top w:val="nil"/>
          <w:left w:val="nil"/>
          <w:bottom w:val="nil"/>
          <w:right w:val="nil"/>
          <w:between w:val="nil"/>
        </w:pBdr>
        <w:spacing w:after="0"/>
        <w:rPr>
          <w:rFonts w:ascii="Arial" w:eastAsia="Aptos" w:hAnsi="Arial" w:cs="Arial"/>
          <w:b/>
          <w:color w:val="000000"/>
          <w:lang w:val="es-ES"/>
        </w:rPr>
      </w:pPr>
      <w:r w:rsidRPr="00ED670E">
        <w:rPr>
          <w:rFonts w:ascii="Arial" w:eastAsia="Aptos" w:hAnsi="Arial" w:cs="Arial"/>
          <w:b/>
          <w:color w:val="000000"/>
          <w:lang w:val="es-ES"/>
        </w:rPr>
        <w:t>OBJETIVOS</w:t>
      </w:r>
    </w:p>
    <w:p w14:paraId="2F85D3B9" w14:textId="0F9C0E99" w:rsidR="00B94F1A" w:rsidRPr="00657670" w:rsidRDefault="00ED670E" w:rsidP="00ED670E">
      <w:pPr>
        <w:pStyle w:val="mesas-cuerpo"/>
        <w:ind w:firstLine="0"/>
        <w:rPr>
          <w:color w:val="000000"/>
          <w:szCs w:val="22"/>
          <w:lang w:val="es-ES"/>
        </w:rPr>
      </w:pPr>
      <w:r>
        <w:rPr>
          <w:color w:val="000000"/>
          <w:szCs w:val="22"/>
          <w:shd w:val="clear" w:color="auto" w:fill="FFFFFF"/>
          <w:lang w:val="es-ES"/>
        </w:rPr>
        <w:t>A</w:t>
      </w:r>
      <w:r w:rsidRPr="00ED670E">
        <w:rPr>
          <w:color w:val="000000"/>
          <w:szCs w:val="22"/>
          <w:shd w:val="clear" w:color="auto" w:fill="FFFFFF"/>
          <w:lang w:val="es-ES"/>
        </w:rPr>
        <w:t>nalizar las tendencias actuales en la gestión de ambientes educativos virtuales</w:t>
      </w:r>
      <w:r>
        <w:rPr>
          <w:color w:val="000000"/>
          <w:szCs w:val="22"/>
          <w:shd w:val="clear" w:color="auto" w:fill="FFFFFF"/>
          <w:lang w:val="es-ES"/>
        </w:rPr>
        <w:t>.</w:t>
      </w:r>
      <w:r w:rsidRPr="00ED670E">
        <w:rPr>
          <w:color w:val="000000"/>
          <w:szCs w:val="22"/>
          <w:shd w:val="clear" w:color="auto" w:fill="FFFFFF"/>
          <w:lang w:val="es-ES"/>
        </w:rPr>
        <w:t xml:space="preserve"> </w:t>
      </w:r>
      <w:r>
        <w:rPr>
          <w:color w:val="000000"/>
          <w:szCs w:val="22"/>
          <w:shd w:val="clear" w:color="auto" w:fill="FFFFFF"/>
          <w:lang w:val="es-ES"/>
        </w:rPr>
        <w:t>I</w:t>
      </w:r>
      <w:r w:rsidRPr="00ED670E">
        <w:rPr>
          <w:color w:val="000000"/>
          <w:szCs w:val="22"/>
          <w:shd w:val="clear" w:color="auto" w:fill="FFFFFF"/>
          <w:lang w:val="es-ES"/>
        </w:rPr>
        <w:t xml:space="preserve">dentificar categorías clave que permitan comprender las transformaciones en curso y los desafíos emergentes en la implementación de estos entornos. </w:t>
      </w:r>
    </w:p>
    <w:p w14:paraId="3C1826DD" w14:textId="77777777" w:rsidR="00B94F1A" w:rsidRPr="00657670" w:rsidRDefault="00B94F1A" w:rsidP="00B94F1A">
      <w:pPr>
        <w:pBdr>
          <w:top w:val="nil"/>
          <w:left w:val="nil"/>
          <w:bottom w:val="nil"/>
          <w:right w:val="nil"/>
          <w:between w:val="nil"/>
        </w:pBdr>
        <w:spacing w:after="0"/>
        <w:rPr>
          <w:rFonts w:ascii="Arial" w:hAnsi="Arial" w:cs="Arial"/>
          <w:color w:val="000000"/>
          <w:lang w:val="es-ES"/>
        </w:rPr>
      </w:pPr>
    </w:p>
    <w:p w14:paraId="0597D124" w14:textId="77777777" w:rsidR="00B94F1A" w:rsidRPr="00657670" w:rsidRDefault="00B94F1A" w:rsidP="00B94F1A">
      <w:pPr>
        <w:pBdr>
          <w:top w:val="nil"/>
          <w:left w:val="nil"/>
          <w:bottom w:val="nil"/>
          <w:right w:val="nil"/>
          <w:between w:val="nil"/>
        </w:pBdr>
        <w:spacing w:after="0"/>
        <w:rPr>
          <w:rFonts w:ascii="Arial" w:eastAsia="Aptos" w:hAnsi="Arial" w:cs="Arial"/>
          <w:b/>
          <w:color w:val="000000"/>
          <w:lang w:val="es-ES"/>
        </w:rPr>
      </w:pPr>
      <w:r w:rsidRPr="00657670">
        <w:rPr>
          <w:rFonts w:ascii="Arial" w:eastAsia="Aptos" w:hAnsi="Arial" w:cs="Arial"/>
          <w:b/>
          <w:color w:val="000000"/>
          <w:lang w:val="es-ES"/>
        </w:rPr>
        <w:t>MATERIALES Y MÉTODOS</w:t>
      </w:r>
    </w:p>
    <w:p w14:paraId="1EF39BCB" w14:textId="77777777" w:rsidR="00ED670E" w:rsidRPr="00ED670E" w:rsidRDefault="00ED670E" w:rsidP="00ED670E">
      <w:pPr>
        <w:pStyle w:val="mesas-cuerpo"/>
        <w:rPr>
          <w:color w:val="000000"/>
          <w:szCs w:val="22"/>
          <w:shd w:val="clear" w:color="auto" w:fill="FFFFFF"/>
          <w:lang w:val="es-ES"/>
        </w:rPr>
      </w:pPr>
      <w:r w:rsidRPr="00ED670E">
        <w:rPr>
          <w:color w:val="000000"/>
          <w:szCs w:val="22"/>
          <w:shd w:val="clear" w:color="auto" w:fill="FFFFFF"/>
          <w:lang w:val="es-ES"/>
        </w:rPr>
        <w:t xml:space="preserve">El presente estudio se desarrolló a través de una revisión sistemática de la literatura, guiada por las directrices PRISMA. Se realizó una búsqueda exhaustiva en las bases de datos científicas </w:t>
      </w:r>
      <w:proofErr w:type="spellStart"/>
      <w:r w:rsidRPr="00ED670E">
        <w:rPr>
          <w:color w:val="000000"/>
          <w:szCs w:val="22"/>
          <w:shd w:val="clear" w:color="auto" w:fill="FFFFFF"/>
          <w:lang w:val="es-ES"/>
        </w:rPr>
        <w:t>Scopus</w:t>
      </w:r>
      <w:proofErr w:type="spellEnd"/>
      <w:r w:rsidRPr="00ED670E">
        <w:rPr>
          <w:color w:val="000000"/>
          <w:szCs w:val="22"/>
          <w:shd w:val="clear" w:color="auto" w:fill="FFFFFF"/>
          <w:lang w:val="es-ES"/>
        </w:rPr>
        <w:t xml:space="preserve">, ERIC, SciELO, Redalyc y Google </w:t>
      </w:r>
      <w:proofErr w:type="spellStart"/>
      <w:r w:rsidRPr="00ED670E">
        <w:rPr>
          <w:color w:val="000000"/>
          <w:szCs w:val="22"/>
          <w:shd w:val="clear" w:color="auto" w:fill="FFFFFF"/>
          <w:lang w:val="es-ES"/>
        </w:rPr>
        <w:t>Scholar</w:t>
      </w:r>
      <w:proofErr w:type="spellEnd"/>
      <w:r w:rsidRPr="00ED670E">
        <w:rPr>
          <w:color w:val="000000"/>
          <w:szCs w:val="22"/>
          <w:shd w:val="clear" w:color="auto" w:fill="FFFFFF"/>
          <w:lang w:val="es-ES"/>
        </w:rPr>
        <w:t>, utilizando descriptores en español e inglés como: gestión de ambientes virtuales de aprendizaje, educación inclusiva, innovación educativa y sostenibilidad digital.</w:t>
      </w:r>
    </w:p>
    <w:p w14:paraId="296D7B83" w14:textId="02AC744C" w:rsidR="00ED670E" w:rsidRPr="00ED670E" w:rsidRDefault="00ED670E" w:rsidP="00ED670E">
      <w:pPr>
        <w:pStyle w:val="mesas-cuerpo"/>
        <w:rPr>
          <w:color w:val="000000"/>
          <w:szCs w:val="22"/>
          <w:shd w:val="clear" w:color="auto" w:fill="FFFFFF"/>
          <w:lang w:val="es-ES"/>
        </w:rPr>
      </w:pPr>
      <w:r w:rsidRPr="00ED670E">
        <w:rPr>
          <w:color w:val="000000"/>
          <w:szCs w:val="22"/>
          <w:shd w:val="clear" w:color="auto" w:fill="FFFFFF"/>
          <w:lang w:val="es-ES"/>
        </w:rPr>
        <w:t xml:space="preserve">Se establecieron criterios de inclusión que consideraron artículos publicados entre 2018 y 2024, en idioma español o inglés, revisados por pares y centrados en educación básica y superior. Se excluyeron documentos de opinión y duplicados. De un total inicial de 72 artículos, fueron seleccionados 29 estudios que cumplieron con los criterios establecidos. La información extraída de estos artículos fue organizada y analizada </w:t>
      </w:r>
      <w:r w:rsidRPr="00ED670E">
        <w:rPr>
          <w:color w:val="000000"/>
          <w:szCs w:val="22"/>
          <w:shd w:val="clear" w:color="auto" w:fill="FFFFFF"/>
          <w:lang w:val="es-ES"/>
        </w:rPr>
        <w:lastRenderedPageBreak/>
        <w:t>mediante la técnica de análisis temático, lo que permitió la identificación de cinco categorías emergentes que estructuraron la discusión de los resultados.</w:t>
      </w:r>
    </w:p>
    <w:p w14:paraId="0B9389EE" w14:textId="77777777" w:rsidR="00B94F1A" w:rsidRPr="00657670" w:rsidRDefault="00B94F1A" w:rsidP="00B94F1A">
      <w:pPr>
        <w:pBdr>
          <w:top w:val="nil"/>
          <w:left w:val="nil"/>
          <w:bottom w:val="nil"/>
          <w:right w:val="nil"/>
          <w:between w:val="nil"/>
        </w:pBdr>
        <w:spacing w:after="0"/>
        <w:rPr>
          <w:rFonts w:ascii="Arial" w:hAnsi="Arial" w:cs="Arial"/>
          <w:color w:val="000000"/>
          <w:lang w:val="es-ES"/>
        </w:rPr>
      </w:pPr>
    </w:p>
    <w:p w14:paraId="361F2808" w14:textId="77777777" w:rsidR="00B94F1A" w:rsidRPr="00ED670E" w:rsidRDefault="00B94F1A" w:rsidP="00B94F1A">
      <w:pPr>
        <w:pBdr>
          <w:top w:val="nil"/>
          <w:left w:val="nil"/>
          <w:bottom w:val="nil"/>
          <w:right w:val="nil"/>
          <w:between w:val="nil"/>
        </w:pBdr>
        <w:spacing w:after="0"/>
        <w:rPr>
          <w:rFonts w:ascii="Arial" w:eastAsia="Aptos" w:hAnsi="Arial" w:cs="Arial"/>
          <w:b/>
          <w:color w:val="000000"/>
          <w:lang w:val="es-ES"/>
        </w:rPr>
      </w:pPr>
      <w:r w:rsidRPr="00ED670E">
        <w:rPr>
          <w:rFonts w:ascii="Arial" w:eastAsia="Aptos" w:hAnsi="Arial" w:cs="Arial"/>
          <w:b/>
          <w:color w:val="000000"/>
          <w:lang w:val="es-ES"/>
        </w:rPr>
        <w:t>RESULTADOS Y DISCUSIÓN</w:t>
      </w:r>
    </w:p>
    <w:p w14:paraId="062DA207" w14:textId="77777777" w:rsidR="00ED670E" w:rsidRPr="00ED670E" w:rsidRDefault="00ED670E" w:rsidP="00ED670E">
      <w:pPr>
        <w:pStyle w:val="mesas-cuerpo"/>
        <w:rPr>
          <w:color w:val="000000"/>
          <w:szCs w:val="22"/>
          <w:shd w:val="clear" w:color="auto" w:fill="FFFFFF"/>
          <w:lang w:val="es-ES"/>
        </w:rPr>
      </w:pPr>
      <w:r w:rsidRPr="00ED670E">
        <w:rPr>
          <w:color w:val="000000"/>
          <w:szCs w:val="22"/>
          <w:shd w:val="clear" w:color="auto" w:fill="FFFFFF"/>
          <w:lang w:val="es-ES"/>
        </w:rPr>
        <w:t>Los resultados se presentan en cinco categorías clave para la gestión innovadora y sostenible de ambientes virtuales de aprendizaje. Estas dimensiones reflejan los principales desafíos y oportunidades para garantizar una educación inclusiva, flexible y de calidad en entornos digitales. La articulación de estos pilares es fundamental para promover la equidad, la innovación y la continuidad educativa en contextos virtuales</w:t>
      </w:r>
    </w:p>
    <w:p w14:paraId="1FADABA1" w14:textId="77777777" w:rsidR="00ED670E" w:rsidRPr="00ED670E" w:rsidRDefault="00ED670E" w:rsidP="00ED670E">
      <w:pPr>
        <w:pStyle w:val="mesas-cuerpo"/>
        <w:rPr>
          <w:b/>
          <w:bCs/>
          <w:color w:val="000000"/>
          <w:szCs w:val="22"/>
          <w:shd w:val="clear" w:color="auto" w:fill="FFFFFF"/>
          <w:lang w:val="es-ES"/>
        </w:rPr>
      </w:pPr>
      <w:r w:rsidRPr="00ED670E">
        <w:rPr>
          <w:b/>
          <w:bCs/>
          <w:color w:val="000000"/>
          <w:szCs w:val="22"/>
          <w:shd w:val="clear" w:color="auto" w:fill="FFFFFF"/>
          <w:lang w:val="es-ES"/>
        </w:rPr>
        <w:t>Accesibilidad e inclusión digital</w:t>
      </w:r>
    </w:p>
    <w:p w14:paraId="649E0518" w14:textId="01671A4C" w:rsidR="00ED670E" w:rsidRPr="00ED670E" w:rsidRDefault="00ED670E" w:rsidP="00ED670E">
      <w:pPr>
        <w:pStyle w:val="mesas-cuerpo"/>
        <w:rPr>
          <w:color w:val="000000"/>
          <w:szCs w:val="22"/>
          <w:shd w:val="clear" w:color="auto" w:fill="FFFFFF"/>
          <w:lang w:val="es-ES"/>
        </w:rPr>
      </w:pPr>
      <w:r w:rsidRPr="00ED670E">
        <w:rPr>
          <w:color w:val="000000"/>
          <w:szCs w:val="22"/>
          <w:shd w:val="clear" w:color="auto" w:fill="FFFFFF"/>
          <w:lang w:val="es-ES"/>
        </w:rPr>
        <w:t>La accesibilidad e inclusión digital constituyen la base para garantizar que los ambientes virtuales de aprendizaje (AVA) sean realmente universales. El Diseño Universal para el Aprendizaje (DUA) se presenta como un enfoque central, ya que promueve la creación de entornos flexibles que atienden la diversidad de estilos, ritmos y necesidades de los estudiantes (</w:t>
      </w:r>
      <w:r w:rsidR="00722F8D" w:rsidRPr="00ED670E">
        <w:rPr>
          <w:color w:val="000000"/>
          <w:szCs w:val="22"/>
          <w:shd w:val="clear" w:color="auto" w:fill="FFFFFF"/>
          <w:lang w:val="es-ES"/>
        </w:rPr>
        <w:t>Chávez</w:t>
      </w:r>
      <w:r w:rsidRPr="00ED670E">
        <w:rPr>
          <w:color w:val="000000"/>
          <w:szCs w:val="22"/>
          <w:shd w:val="clear" w:color="auto" w:fill="FFFFFF"/>
          <w:lang w:val="es-ES"/>
        </w:rPr>
        <w:t xml:space="preserve"> </w:t>
      </w:r>
      <w:proofErr w:type="spellStart"/>
      <w:r w:rsidRPr="00ED670E">
        <w:rPr>
          <w:color w:val="000000"/>
          <w:szCs w:val="22"/>
          <w:shd w:val="clear" w:color="auto" w:fill="FFFFFF"/>
          <w:lang w:val="es-ES"/>
        </w:rPr>
        <w:t>Taipe</w:t>
      </w:r>
      <w:proofErr w:type="spellEnd"/>
      <w:r w:rsidRPr="00ED670E">
        <w:rPr>
          <w:color w:val="000000"/>
          <w:szCs w:val="22"/>
          <w:shd w:val="clear" w:color="auto" w:fill="FFFFFF"/>
          <w:lang w:val="es-ES"/>
        </w:rPr>
        <w:t xml:space="preserve"> et al., 2025; Montoya et al., 2024</w:t>
      </w:r>
      <w:r w:rsidR="00291367">
        <w:rPr>
          <w:color w:val="000000"/>
          <w:szCs w:val="22"/>
          <w:shd w:val="clear" w:color="auto" w:fill="FFFFFF"/>
          <w:lang w:val="es-ES"/>
        </w:rPr>
        <w:t xml:space="preserve">; </w:t>
      </w:r>
      <w:r w:rsidR="00291367" w:rsidRPr="00ED670E">
        <w:t>Puyol-Cortez, 2023</w:t>
      </w:r>
      <w:r w:rsidRPr="00ED670E">
        <w:rPr>
          <w:color w:val="000000"/>
          <w:szCs w:val="22"/>
          <w:shd w:val="clear" w:color="auto" w:fill="FFFFFF"/>
          <w:lang w:val="es-ES"/>
        </w:rPr>
        <w:t xml:space="preserve">). Sin embargo, persisten barreras significativas relacionadas con la falta de accesibilidad en muchas plataformas, lo que afecta especialmente a estudiantes con discapacidades o con recursos limitados (De Souza </w:t>
      </w:r>
      <w:proofErr w:type="spellStart"/>
      <w:r w:rsidRPr="00ED670E">
        <w:rPr>
          <w:color w:val="000000"/>
          <w:szCs w:val="22"/>
          <w:shd w:val="clear" w:color="auto" w:fill="FFFFFF"/>
          <w:lang w:val="es-ES"/>
        </w:rPr>
        <w:t>Godinho</w:t>
      </w:r>
      <w:proofErr w:type="spellEnd"/>
      <w:r w:rsidRPr="00ED670E">
        <w:rPr>
          <w:color w:val="000000"/>
          <w:szCs w:val="22"/>
          <w:shd w:val="clear" w:color="auto" w:fill="FFFFFF"/>
          <w:lang w:val="es-ES"/>
        </w:rPr>
        <w:t xml:space="preserve"> et al., 2021; Rojas, 2021; Suárez et al., 2024). Para superar estas brechas, los autores destacan la importancia de desarrollar materiales digitales livianos, adaptados a diferentes dispositivos y contextos, así como la necesidad de marcos normativos y políticas institucionales que garanticen la equidad y la inclusión en el acceso a la educación digital (Castro Monge, 2023; Pérez Valles &amp; Reeves Huapaya, 2023). </w:t>
      </w:r>
    </w:p>
    <w:p w14:paraId="1D36601C" w14:textId="77777777" w:rsidR="00ED670E" w:rsidRPr="00ED670E" w:rsidRDefault="00ED670E" w:rsidP="00ED670E">
      <w:pPr>
        <w:pStyle w:val="mesas-cuerpo"/>
        <w:rPr>
          <w:b/>
          <w:bCs/>
          <w:color w:val="000000"/>
          <w:szCs w:val="22"/>
          <w:shd w:val="clear" w:color="auto" w:fill="FFFFFF"/>
          <w:lang w:val="es-ES"/>
        </w:rPr>
      </w:pPr>
      <w:r w:rsidRPr="00ED670E">
        <w:rPr>
          <w:b/>
          <w:bCs/>
          <w:color w:val="000000"/>
          <w:szCs w:val="22"/>
          <w:shd w:val="clear" w:color="auto" w:fill="FFFFFF"/>
          <w:lang w:val="es-ES"/>
        </w:rPr>
        <w:t>Integración de tecnologías emergentes</w:t>
      </w:r>
    </w:p>
    <w:p w14:paraId="4A11C559" w14:textId="77777777" w:rsidR="00ED670E" w:rsidRPr="00ED670E" w:rsidRDefault="00ED670E" w:rsidP="00ED670E">
      <w:pPr>
        <w:pStyle w:val="mesas-cuerpo"/>
        <w:rPr>
          <w:color w:val="000000"/>
          <w:szCs w:val="22"/>
          <w:shd w:val="clear" w:color="auto" w:fill="FFFFFF"/>
          <w:lang w:val="es-ES"/>
        </w:rPr>
      </w:pPr>
      <w:r w:rsidRPr="00ED670E">
        <w:rPr>
          <w:color w:val="000000"/>
          <w:szCs w:val="22"/>
          <w:shd w:val="clear" w:color="auto" w:fill="FFFFFF"/>
          <w:lang w:val="es-ES"/>
        </w:rPr>
        <w:t xml:space="preserve">La integración de tecnologías emergentes en los AVA está transformando la manera en que se personalizan los procesos de enseñanza y aprendizaje. El uso de inteligencia artificial (IA) y analítica del aprendizaje permite adaptar los contenidos a las necesidades individuales, detectar riesgos académicos y ofrecer retroalimentación oportuna (Andrews et al., 2025; Borja et al., 2025; </w:t>
      </w:r>
      <w:proofErr w:type="spellStart"/>
      <w:r w:rsidRPr="00ED670E">
        <w:rPr>
          <w:color w:val="000000"/>
          <w:szCs w:val="22"/>
          <w:shd w:val="clear" w:color="auto" w:fill="FFFFFF"/>
          <w:lang w:val="es-ES"/>
        </w:rPr>
        <w:t>Lincango</w:t>
      </w:r>
      <w:proofErr w:type="spellEnd"/>
      <w:r w:rsidRPr="00ED670E">
        <w:rPr>
          <w:color w:val="000000"/>
          <w:szCs w:val="22"/>
          <w:shd w:val="clear" w:color="auto" w:fill="FFFFFF"/>
          <w:lang w:val="es-ES"/>
        </w:rPr>
        <w:t xml:space="preserve"> </w:t>
      </w:r>
      <w:proofErr w:type="spellStart"/>
      <w:r w:rsidRPr="00ED670E">
        <w:rPr>
          <w:color w:val="000000"/>
          <w:szCs w:val="22"/>
          <w:shd w:val="clear" w:color="auto" w:fill="FFFFFF"/>
          <w:lang w:val="es-ES"/>
        </w:rPr>
        <w:t>Paucar</w:t>
      </w:r>
      <w:proofErr w:type="spellEnd"/>
      <w:r w:rsidRPr="00ED670E">
        <w:rPr>
          <w:color w:val="000000"/>
          <w:szCs w:val="22"/>
          <w:shd w:val="clear" w:color="auto" w:fill="FFFFFF"/>
          <w:lang w:val="es-ES"/>
        </w:rPr>
        <w:t xml:space="preserve"> et al., 2025; Silva et al., 2024). Además, la incorporación del </w:t>
      </w:r>
      <w:proofErr w:type="spellStart"/>
      <w:r w:rsidRPr="00ED670E">
        <w:rPr>
          <w:color w:val="000000"/>
          <w:szCs w:val="22"/>
          <w:shd w:val="clear" w:color="auto" w:fill="FFFFFF"/>
          <w:lang w:val="es-ES"/>
        </w:rPr>
        <w:t>mobile</w:t>
      </w:r>
      <w:proofErr w:type="spellEnd"/>
      <w:r w:rsidRPr="00ED670E">
        <w:rPr>
          <w:color w:val="000000"/>
          <w:szCs w:val="22"/>
          <w:shd w:val="clear" w:color="auto" w:fill="FFFFFF"/>
          <w:lang w:val="es-ES"/>
        </w:rPr>
        <w:t xml:space="preserve"> </w:t>
      </w:r>
      <w:proofErr w:type="spellStart"/>
      <w:r w:rsidRPr="00ED670E">
        <w:rPr>
          <w:color w:val="000000"/>
          <w:szCs w:val="22"/>
          <w:shd w:val="clear" w:color="auto" w:fill="FFFFFF"/>
          <w:lang w:val="es-ES"/>
        </w:rPr>
        <w:t>learning</w:t>
      </w:r>
      <w:proofErr w:type="spellEnd"/>
      <w:r w:rsidRPr="00ED670E">
        <w:rPr>
          <w:color w:val="000000"/>
          <w:szCs w:val="22"/>
          <w:shd w:val="clear" w:color="auto" w:fill="FFFFFF"/>
          <w:lang w:val="es-ES"/>
        </w:rPr>
        <w:t xml:space="preserve"> y el </w:t>
      </w:r>
      <w:proofErr w:type="spellStart"/>
      <w:r w:rsidRPr="00ED670E">
        <w:rPr>
          <w:color w:val="000000"/>
          <w:szCs w:val="22"/>
          <w:shd w:val="clear" w:color="auto" w:fill="FFFFFF"/>
          <w:lang w:val="es-ES"/>
        </w:rPr>
        <w:t>microlearning</w:t>
      </w:r>
      <w:proofErr w:type="spellEnd"/>
      <w:r w:rsidRPr="00ED670E">
        <w:rPr>
          <w:color w:val="000000"/>
          <w:szCs w:val="22"/>
          <w:shd w:val="clear" w:color="auto" w:fill="FFFFFF"/>
          <w:lang w:val="es-ES"/>
        </w:rPr>
        <w:t xml:space="preserve"> facilita el acceso a contenidos breves y relevantes desde cualquier lugar y en cualquier momento, promoviendo la flexibilidad y la autonomía del estudiante (Pascuas-Rengifo et al., 2020; Zambrano Verdesoto &amp; Caicedo, 2025). No obstante, los autores advierten sobre la necesidad de establecer marcos éticos y legales para el uso responsable de estas tecnologías, así como de garantizar la formación docente para su implementación efectiva.</w:t>
      </w:r>
    </w:p>
    <w:p w14:paraId="26CCC37F" w14:textId="77777777" w:rsidR="00ED670E" w:rsidRPr="00722F8D" w:rsidRDefault="00ED670E" w:rsidP="00ED670E">
      <w:pPr>
        <w:pStyle w:val="mesas-cuerpo"/>
        <w:rPr>
          <w:b/>
          <w:bCs/>
          <w:color w:val="000000"/>
          <w:szCs w:val="22"/>
          <w:shd w:val="clear" w:color="auto" w:fill="FFFFFF"/>
          <w:lang w:val="es-ES"/>
        </w:rPr>
      </w:pPr>
      <w:r w:rsidRPr="00722F8D">
        <w:rPr>
          <w:b/>
          <w:bCs/>
          <w:color w:val="000000"/>
          <w:szCs w:val="22"/>
          <w:shd w:val="clear" w:color="auto" w:fill="FFFFFF"/>
          <w:lang w:val="es-ES"/>
        </w:rPr>
        <w:t>Estrategias pedagógicas innovadoras</w:t>
      </w:r>
    </w:p>
    <w:p w14:paraId="1874A2A6" w14:textId="284381D2" w:rsidR="00ED670E" w:rsidRDefault="00ED670E" w:rsidP="00ED670E">
      <w:pPr>
        <w:pStyle w:val="mesas-cuerpo"/>
        <w:rPr>
          <w:color w:val="000000"/>
          <w:szCs w:val="22"/>
          <w:shd w:val="clear" w:color="auto" w:fill="FFFFFF"/>
          <w:lang w:val="es-ES"/>
        </w:rPr>
      </w:pPr>
      <w:r w:rsidRPr="00ED670E">
        <w:rPr>
          <w:color w:val="000000"/>
          <w:szCs w:val="22"/>
          <w:shd w:val="clear" w:color="auto" w:fill="FFFFFF"/>
          <w:lang w:val="es-ES"/>
        </w:rPr>
        <w:t xml:space="preserve">Las estrategias pedagógicas innovadoras, como el aprendizaje basado en </w:t>
      </w:r>
      <w:r w:rsidR="00722F8D">
        <w:rPr>
          <w:color w:val="000000"/>
          <w:szCs w:val="22"/>
          <w:shd w:val="clear" w:color="auto" w:fill="FFFFFF"/>
          <w:lang w:val="es-ES"/>
        </w:rPr>
        <w:t xml:space="preserve">proyectos o </w:t>
      </w:r>
      <w:r w:rsidRPr="00ED670E">
        <w:rPr>
          <w:color w:val="000000"/>
          <w:szCs w:val="22"/>
          <w:shd w:val="clear" w:color="auto" w:fill="FFFFFF"/>
          <w:lang w:val="es-ES"/>
        </w:rPr>
        <w:t xml:space="preserve">problemas, el aula invertida y la gamificación, han demostrado un impacto positivo en el desarrollo de competencias clave y en la motivación estudiantil. El aprendizaje basado en problemas y el aula invertida fomentan el pensamiento crítico, la resolución de problemas y la interacción activa, tanto en entornos sincrónicos como asincrónicos (Cabero-Almenara &amp; Palacios-Rodríguez, 2021; Carrasco Corpus, 2022; </w:t>
      </w:r>
      <w:r w:rsidR="00722F8D" w:rsidRPr="00ED670E">
        <w:rPr>
          <w:lang w:val="es-ES"/>
        </w:rPr>
        <w:t>Domínguez-Amorocho</w:t>
      </w:r>
      <w:r w:rsidR="00722F8D" w:rsidRPr="00ED670E">
        <w:rPr>
          <w:color w:val="000000"/>
          <w:szCs w:val="22"/>
          <w:shd w:val="clear" w:color="auto" w:fill="FFFFFF"/>
          <w:lang w:val="es-ES"/>
        </w:rPr>
        <w:t xml:space="preserve"> </w:t>
      </w:r>
      <w:r w:rsidR="00722F8D">
        <w:rPr>
          <w:color w:val="000000"/>
          <w:szCs w:val="22"/>
          <w:shd w:val="clear" w:color="auto" w:fill="FFFFFF"/>
          <w:lang w:val="es-ES"/>
        </w:rPr>
        <w:t xml:space="preserve">et al., 2021; </w:t>
      </w:r>
      <w:r w:rsidR="00AD7E07" w:rsidRPr="00ED670E">
        <w:rPr>
          <w:lang w:val="es-ES"/>
        </w:rPr>
        <w:t>Pazos-Yerovi</w:t>
      </w:r>
      <w:r w:rsidR="00AD7E07">
        <w:rPr>
          <w:color w:val="000000"/>
          <w:szCs w:val="22"/>
          <w:shd w:val="clear" w:color="auto" w:fill="FFFFFF"/>
          <w:lang w:val="es-ES"/>
        </w:rPr>
        <w:t xml:space="preserve"> et al., 2024; </w:t>
      </w:r>
      <w:r w:rsidRPr="00ED670E">
        <w:rPr>
          <w:color w:val="000000"/>
          <w:szCs w:val="22"/>
          <w:shd w:val="clear" w:color="auto" w:fill="FFFFFF"/>
          <w:lang w:val="es-ES"/>
        </w:rPr>
        <w:t>Tapia et al., 2025). Por su parte, la gamificación, al incorporar elementos lúdicos y de competencia, incrementa el compromiso y la participación de los estudiantes, además de favorecer el desarrollo de competencias digitales (Alonso-García et al., 2021;</w:t>
      </w:r>
      <w:r w:rsidR="00B37808">
        <w:rPr>
          <w:color w:val="000000"/>
          <w:szCs w:val="22"/>
          <w:shd w:val="clear" w:color="auto" w:fill="FFFFFF"/>
          <w:lang w:val="es-ES"/>
        </w:rPr>
        <w:t xml:space="preserve"> </w:t>
      </w:r>
      <w:r w:rsidR="00B37808" w:rsidRPr="00ED670E">
        <w:rPr>
          <w:lang w:val="es-ES"/>
        </w:rPr>
        <w:t>Carbajal Destre</w:t>
      </w:r>
      <w:r w:rsidR="00B37808">
        <w:rPr>
          <w:lang w:val="es-ES"/>
        </w:rPr>
        <w:t xml:space="preserve"> et al., 2022;</w:t>
      </w:r>
      <w:r w:rsidRPr="00ED670E">
        <w:rPr>
          <w:color w:val="000000"/>
          <w:szCs w:val="22"/>
          <w:shd w:val="clear" w:color="auto" w:fill="FFFFFF"/>
          <w:lang w:val="es-ES"/>
        </w:rPr>
        <w:t xml:space="preserve"> Jaramillo-Mediavilla et al., 2025; Ojeda-Lara &amp; Zaldívar-Acosta, 2023; Nivela-Cornejo et al., 2021; González-Cardona &amp; González-Martínez, 2025). Estas metodologías activas requieren un rediseño curricular y una formación docente continua para su adecuada implementación y sostenibilidad.</w:t>
      </w:r>
    </w:p>
    <w:p w14:paraId="158F50BE" w14:textId="77777777" w:rsidR="00DD046F" w:rsidRPr="00ED670E" w:rsidRDefault="00DD046F" w:rsidP="00ED670E">
      <w:pPr>
        <w:pStyle w:val="mesas-cuerpo"/>
        <w:rPr>
          <w:color w:val="000000"/>
          <w:szCs w:val="22"/>
          <w:shd w:val="clear" w:color="auto" w:fill="FFFFFF"/>
          <w:lang w:val="es-ES"/>
        </w:rPr>
      </w:pPr>
    </w:p>
    <w:p w14:paraId="4D908708" w14:textId="77777777" w:rsidR="00ED670E" w:rsidRPr="00ED670E" w:rsidRDefault="00ED670E" w:rsidP="00ED670E">
      <w:pPr>
        <w:pStyle w:val="mesas-cuerpo"/>
        <w:rPr>
          <w:b/>
          <w:bCs/>
          <w:color w:val="000000"/>
          <w:szCs w:val="22"/>
          <w:shd w:val="clear" w:color="auto" w:fill="FFFFFF"/>
          <w:lang w:val="es-ES"/>
        </w:rPr>
      </w:pPr>
      <w:r w:rsidRPr="00ED670E">
        <w:rPr>
          <w:b/>
          <w:bCs/>
          <w:color w:val="000000"/>
          <w:szCs w:val="22"/>
          <w:shd w:val="clear" w:color="auto" w:fill="FFFFFF"/>
          <w:lang w:val="es-ES"/>
        </w:rPr>
        <w:lastRenderedPageBreak/>
        <w:t>Sostenibilidad y gobernanza digital</w:t>
      </w:r>
    </w:p>
    <w:p w14:paraId="3C9917BF" w14:textId="77777777" w:rsidR="00ED670E" w:rsidRPr="00ED670E" w:rsidRDefault="00ED670E" w:rsidP="00ED670E">
      <w:pPr>
        <w:pStyle w:val="mesas-cuerpo"/>
        <w:rPr>
          <w:color w:val="000000"/>
          <w:szCs w:val="22"/>
          <w:shd w:val="clear" w:color="auto" w:fill="FFFFFF"/>
          <w:lang w:val="es-ES"/>
        </w:rPr>
      </w:pPr>
      <w:r w:rsidRPr="00ED670E">
        <w:rPr>
          <w:color w:val="000000"/>
          <w:szCs w:val="22"/>
          <w:shd w:val="clear" w:color="auto" w:fill="FFFFFF"/>
          <w:lang w:val="es-ES"/>
        </w:rPr>
        <w:t xml:space="preserve">La sostenibilidad y la gobernanza digital representan desafíos estructurales en la gestión de los AVA. Se identifican problemáticas como la brecha digital, la dependencia de infraestructuras tecnológicas externas y la sostenibilidad financiera de las plataformas educativas (Basantes Arellano et al., 2025; CLADE, 2024). Los autores subrayan la importancia de diseñar políticas públicas inclusivas que garanticen el acceso equitativo y la continuidad educativa, así como de promover modelos de gobernanza que involucren a todos los actores del sistema educativo. Un diseño instruccional sostenible debe considerar la resiliencia ante cambios tecnológicos y la capacidad de adaptación a nuevas demandas sociales y educativas (Rodríguez Valladares, 2024). </w:t>
      </w:r>
    </w:p>
    <w:p w14:paraId="5830CC0F" w14:textId="77777777" w:rsidR="00ED670E" w:rsidRPr="00ED670E" w:rsidRDefault="00ED670E" w:rsidP="00ED670E">
      <w:pPr>
        <w:pStyle w:val="mesas-cuerpo"/>
        <w:rPr>
          <w:b/>
          <w:bCs/>
          <w:color w:val="000000"/>
          <w:szCs w:val="22"/>
          <w:shd w:val="clear" w:color="auto" w:fill="FFFFFF"/>
          <w:lang w:val="es-ES"/>
        </w:rPr>
      </w:pPr>
      <w:r w:rsidRPr="00ED670E">
        <w:rPr>
          <w:b/>
          <w:bCs/>
          <w:color w:val="000000"/>
          <w:szCs w:val="22"/>
          <w:shd w:val="clear" w:color="auto" w:fill="FFFFFF"/>
          <w:lang w:val="es-ES"/>
        </w:rPr>
        <w:t>Recursos educativos abiertos (REA)</w:t>
      </w:r>
    </w:p>
    <w:p w14:paraId="2624EA55" w14:textId="0758D0D2" w:rsidR="00ED670E" w:rsidRPr="00ED670E" w:rsidRDefault="00ED670E" w:rsidP="00ED670E">
      <w:pPr>
        <w:pStyle w:val="mesas-cuerpo"/>
        <w:rPr>
          <w:color w:val="000000"/>
          <w:szCs w:val="22"/>
          <w:shd w:val="clear" w:color="auto" w:fill="FFFFFF"/>
          <w:lang w:val="es-ES"/>
        </w:rPr>
      </w:pPr>
      <w:r w:rsidRPr="00ED670E">
        <w:rPr>
          <w:color w:val="000000"/>
          <w:szCs w:val="22"/>
          <w:shd w:val="clear" w:color="auto" w:fill="FFFFFF"/>
          <w:lang w:val="es-ES"/>
        </w:rPr>
        <w:t xml:space="preserve">Los Recursos Educativos Abiertos (REA) se consolidan como herramientas fundamentales para democratizar el acceso al conocimiento y fortalecer la autonomía docente. Los REA permiten reducir barreras económicas, ya que son materiales de libre acceso que pueden ser adaptados y contextualizados según las necesidades de los estudiantes y las características locales (Quispe Choque &amp; Nieto Rivas, 2024; Torres Velandia &amp; Jerónimo Montes, 2021; </w:t>
      </w:r>
      <w:proofErr w:type="spellStart"/>
      <w:r w:rsidRPr="00ED670E">
        <w:rPr>
          <w:color w:val="000000"/>
          <w:szCs w:val="22"/>
          <w:shd w:val="clear" w:color="auto" w:fill="FFFFFF"/>
          <w:lang w:val="es-ES"/>
        </w:rPr>
        <w:t>Britez</w:t>
      </w:r>
      <w:proofErr w:type="spellEnd"/>
      <w:r w:rsidRPr="00ED670E">
        <w:rPr>
          <w:color w:val="000000"/>
          <w:szCs w:val="22"/>
          <w:shd w:val="clear" w:color="auto" w:fill="FFFFFF"/>
          <w:lang w:val="es-ES"/>
        </w:rPr>
        <w:t xml:space="preserve">, 2020; Vásquez, 2021). Además, favorecen la colaboración entre docentes y la innovación pedagógica, al posibilitar la creación y el intercambio de recursos didácticos diversos. </w:t>
      </w:r>
    </w:p>
    <w:p w14:paraId="713E8AA1" w14:textId="77777777" w:rsidR="00ED670E" w:rsidRPr="00657670" w:rsidRDefault="00ED670E" w:rsidP="00ED670E">
      <w:pPr>
        <w:pStyle w:val="mesas-cuerpo"/>
        <w:rPr>
          <w:color w:val="000000"/>
          <w:szCs w:val="22"/>
          <w:shd w:val="clear" w:color="auto" w:fill="FFFFFF"/>
          <w:lang w:val="es-ES"/>
        </w:rPr>
      </w:pPr>
      <w:r w:rsidRPr="00ED670E">
        <w:rPr>
          <w:color w:val="000000"/>
          <w:szCs w:val="22"/>
          <w:shd w:val="clear" w:color="auto" w:fill="FFFFFF"/>
          <w:lang w:val="es-ES"/>
        </w:rPr>
        <w:t xml:space="preserve">Los resultados obtenidos confirman que la gestión de los AVA constituye un desafío multidimensional. En línea con </w:t>
      </w:r>
      <w:proofErr w:type="spellStart"/>
      <w:r w:rsidRPr="00ED670E">
        <w:rPr>
          <w:color w:val="000000"/>
          <w:szCs w:val="22"/>
          <w:shd w:val="clear" w:color="auto" w:fill="FFFFFF"/>
          <w:lang w:val="es-ES"/>
        </w:rPr>
        <w:t>Chavez</w:t>
      </w:r>
      <w:proofErr w:type="spellEnd"/>
      <w:r w:rsidRPr="00ED670E">
        <w:rPr>
          <w:color w:val="000000"/>
          <w:szCs w:val="22"/>
          <w:shd w:val="clear" w:color="auto" w:fill="FFFFFF"/>
          <w:lang w:val="es-ES"/>
        </w:rPr>
        <w:t xml:space="preserve"> </w:t>
      </w:r>
      <w:proofErr w:type="spellStart"/>
      <w:r w:rsidRPr="00ED670E">
        <w:rPr>
          <w:color w:val="000000"/>
          <w:szCs w:val="22"/>
          <w:shd w:val="clear" w:color="auto" w:fill="FFFFFF"/>
          <w:lang w:val="es-ES"/>
        </w:rPr>
        <w:t>Taipe</w:t>
      </w:r>
      <w:proofErr w:type="spellEnd"/>
      <w:r w:rsidRPr="00ED670E">
        <w:rPr>
          <w:color w:val="000000"/>
          <w:szCs w:val="22"/>
          <w:shd w:val="clear" w:color="auto" w:fill="FFFFFF"/>
          <w:lang w:val="es-ES"/>
        </w:rPr>
        <w:t xml:space="preserve"> et al. (2025) y Montoya et al. (2024), el DUA favorece la diversidad en el aprendizaje, pero se requieren políticas institucionales claras (Pérez Valles &amp; Reeves Huapaya, 2023). En cuanto a las tecnologías emergentes, su potencial ha sido validado por diversos autores como Borja et al. (2025), </w:t>
      </w:r>
      <w:proofErr w:type="spellStart"/>
      <w:r w:rsidRPr="00ED670E">
        <w:rPr>
          <w:color w:val="000000"/>
          <w:szCs w:val="22"/>
          <w:shd w:val="clear" w:color="auto" w:fill="FFFFFF"/>
          <w:lang w:val="es-ES"/>
        </w:rPr>
        <w:t>Lincango</w:t>
      </w:r>
      <w:proofErr w:type="spellEnd"/>
      <w:r w:rsidRPr="00ED670E">
        <w:rPr>
          <w:color w:val="000000"/>
          <w:szCs w:val="22"/>
          <w:shd w:val="clear" w:color="auto" w:fill="FFFFFF"/>
          <w:lang w:val="es-ES"/>
        </w:rPr>
        <w:t xml:space="preserve"> </w:t>
      </w:r>
      <w:proofErr w:type="spellStart"/>
      <w:r w:rsidRPr="00ED670E">
        <w:rPr>
          <w:color w:val="000000"/>
          <w:szCs w:val="22"/>
          <w:shd w:val="clear" w:color="auto" w:fill="FFFFFF"/>
          <w:lang w:val="es-ES"/>
        </w:rPr>
        <w:t>Paucar</w:t>
      </w:r>
      <w:proofErr w:type="spellEnd"/>
      <w:r w:rsidRPr="00ED670E">
        <w:rPr>
          <w:color w:val="000000"/>
          <w:szCs w:val="22"/>
          <w:shd w:val="clear" w:color="auto" w:fill="FFFFFF"/>
          <w:lang w:val="es-ES"/>
        </w:rPr>
        <w:t xml:space="preserve"> et al. (2025), Espinoza Bravo et al. (2024) y Escaleras Medina et al. (2025), aunque se requieren marcos éticos y legales, como alertan Romero Carbonell et al. </w:t>
      </w:r>
      <w:r w:rsidRPr="00657670">
        <w:rPr>
          <w:color w:val="000000"/>
          <w:szCs w:val="22"/>
          <w:shd w:val="clear" w:color="auto" w:fill="FFFFFF"/>
          <w:lang w:val="es-ES"/>
        </w:rPr>
        <w:t>(2023) y CLADE (2024).</w:t>
      </w:r>
    </w:p>
    <w:p w14:paraId="5CD64BE0" w14:textId="0B04BE5A" w:rsidR="00B94F1A" w:rsidRPr="00657670" w:rsidRDefault="00ED670E" w:rsidP="00ED670E">
      <w:pPr>
        <w:pStyle w:val="mesas-cuerpo"/>
        <w:rPr>
          <w:color w:val="000000"/>
          <w:lang w:val="es-ES"/>
        </w:rPr>
      </w:pPr>
      <w:r w:rsidRPr="00ED670E">
        <w:rPr>
          <w:color w:val="000000"/>
          <w:szCs w:val="22"/>
          <w:shd w:val="clear" w:color="auto" w:fill="FFFFFF"/>
          <w:lang w:val="es-ES"/>
        </w:rPr>
        <w:t>Las metodologías activas, como el aprendizaje basado en proyectos y la gamificación, demuestran efectividad pedagógica (Tapia et al., 2025; Nivela-Cornejo et al., 2021), y permiten atender mejor a las expectativas del estudiantado (González-Cardona &amp; González-Martínez, 2025). La sostenibilidad educativa, como propone Báez (2023), exige visión institucional, diseño resiliente y alianzas colaborativas. Finalmente, el uso de REA representa una solución concreta ante las demandas de acceso, como muestran Quispe Choque &amp; Nieto Rivas (2024) y Vásquez (2021).</w:t>
      </w:r>
    </w:p>
    <w:p w14:paraId="41C1301E" w14:textId="77777777" w:rsidR="00ED670E" w:rsidRPr="00657670" w:rsidRDefault="00ED670E" w:rsidP="00B94F1A">
      <w:pPr>
        <w:pBdr>
          <w:top w:val="nil"/>
          <w:left w:val="nil"/>
          <w:bottom w:val="nil"/>
          <w:right w:val="nil"/>
          <w:between w:val="nil"/>
        </w:pBdr>
        <w:spacing w:after="0"/>
        <w:rPr>
          <w:rFonts w:ascii="Arial" w:eastAsia="Aptos" w:hAnsi="Arial" w:cs="Arial"/>
          <w:b/>
          <w:color w:val="000000"/>
          <w:lang w:val="es-ES"/>
        </w:rPr>
      </w:pPr>
    </w:p>
    <w:p w14:paraId="2429B814" w14:textId="500743CF" w:rsidR="00B94F1A" w:rsidRPr="00500F71" w:rsidRDefault="00B94F1A" w:rsidP="00B94F1A">
      <w:pPr>
        <w:pBdr>
          <w:top w:val="nil"/>
          <w:left w:val="nil"/>
          <w:bottom w:val="nil"/>
          <w:right w:val="nil"/>
          <w:between w:val="nil"/>
        </w:pBdr>
        <w:spacing w:after="0"/>
        <w:rPr>
          <w:rFonts w:ascii="Arial" w:eastAsia="Aptos" w:hAnsi="Arial" w:cs="Arial"/>
          <w:b/>
          <w:color w:val="000000"/>
          <w:lang w:val="es-ES"/>
        </w:rPr>
      </w:pPr>
      <w:r w:rsidRPr="00500F71">
        <w:rPr>
          <w:rFonts w:ascii="Arial" w:eastAsia="Aptos" w:hAnsi="Arial" w:cs="Arial"/>
          <w:b/>
          <w:color w:val="000000"/>
          <w:lang w:val="es-ES"/>
        </w:rPr>
        <w:t xml:space="preserve">CONCLUSIONES </w:t>
      </w:r>
    </w:p>
    <w:p w14:paraId="0D05F559" w14:textId="77777777" w:rsidR="00ED670E" w:rsidRPr="00500F71" w:rsidRDefault="00ED670E" w:rsidP="00B94F1A">
      <w:pPr>
        <w:pStyle w:val="mesas-cuerpo"/>
        <w:ind w:firstLine="0"/>
        <w:rPr>
          <w:color w:val="000000"/>
          <w:szCs w:val="22"/>
          <w:shd w:val="clear" w:color="auto" w:fill="FFFFFF"/>
          <w:lang w:val="es-ES"/>
        </w:rPr>
      </w:pPr>
    </w:p>
    <w:p w14:paraId="1728AF5E" w14:textId="791229DF" w:rsidR="00ED670E" w:rsidRDefault="00500F71" w:rsidP="00500F71">
      <w:pPr>
        <w:pStyle w:val="mesas-cuerpo"/>
        <w:ind w:firstLine="0"/>
        <w:rPr>
          <w:color w:val="000000"/>
          <w:szCs w:val="22"/>
          <w:shd w:val="clear" w:color="auto" w:fill="FFFFFF"/>
          <w:lang w:val="es-ES"/>
        </w:rPr>
      </w:pPr>
      <w:r>
        <w:rPr>
          <w:color w:val="000000"/>
          <w:szCs w:val="22"/>
          <w:shd w:val="clear" w:color="auto" w:fill="FFFFFF"/>
          <w:lang w:val="es-ES"/>
        </w:rPr>
        <w:t xml:space="preserve">      </w:t>
      </w:r>
      <w:r w:rsidR="00ED670E" w:rsidRPr="00ED670E">
        <w:rPr>
          <w:color w:val="000000"/>
          <w:szCs w:val="22"/>
          <w:shd w:val="clear" w:color="auto" w:fill="FFFFFF"/>
          <w:lang w:val="es-ES"/>
        </w:rPr>
        <w:t>La gestión innovadora de los AVA debe fundamentarse en cinco pilares estratégicos: accesibilidad e inclusión digital, tecnologías emergentes, estrategias pedagógicas activas, sostenibilidad y gobernanza digital, y uso de recursos educativos abiertos. Estos componentes deben ser integrados de forma sistémica por las instituciones educativas, priorizando el desarrollo docente, la participación estudiantil y la equidad digital. La transformación de los entornos virtuales no depende exclusivamente de la tecnología, sino del compromiso con una educación centrada en la inclusión, la ética y la sostenibilidad.</w:t>
      </w:r>
    </w:p>
    <w:p w14:paraId="366CFCB6" w14:textId="77777777" w:rsidR="00ED670E" w:rsidRPr="00657670" w:rsidRDefault="00ED670E" w:rsidP="00B94F1A">
      <w:pPr>
        <w:pStyle w:val="mesa-titulos-cuerpo"/>
        <w:rPr>
          <w:lang w:val="es-ES"/>
        </w:rPr>
      </w:pPr>
    </w:p>
    <w:p w14:paraId="6DCE4FD5" w14:textId="1ED98183" w:rsidR="00DD046F" w:rsidRDefault="00B94F1A" w:rsidP="00DD046F">
      <w:pPr>
        <w:pStyle w:val="mesa-titulos-cuerpo"/>
        <w:rPr>
          <w:lang w:val="es-ES"/>
        </w:rPr>
      </w:pPr>
      <w:r w:rsidRPr="00ED670E">
        <w:rPr>
          <w:lang w:val="es-ES"/>
        </w:rPr>
        <w:t>REFERENCIAS BIBLIOGRÁFICAS</w:t>
      </w:r>
    </w:p>
    <w:p w14:paraId="503B7328" w14:textId="77777777" w:rsidR="00DD046F" w:rsidRDefault="00DD046F" w:rsidP="00DD046F">
      <w:pPr>
        <w:pStyle w:val="mesa-titulos-cuerpo"/>
        <w:rPr>
          <w:lang w:val="es-ES"/>
        </w:rPr>
      </w:pPr>
    </w:p>
    <w:p w14:paraId="4002C17D" w14:textId="7F1899B9" w:rsidR="00ED670E" w:rsidRDefault="00ED670E" w:rsidP="00DD046F">
      <w:pPr>
        <w:spacing w:after="0"/>
        <w:rPr>
          <w:rFonts w:ascii="Arial" w:hAnsi="Arial" w:cs="Arial"/>
          <w:lang w:val="es-ES"/>
        </w:rPr>
      </w:pPr>
      <w:r w:rsidRPr="00ED670E">
        <w:rPr>
          <w:rFonts w:ascii="Arial" w:hAnsi="Arial" w:cs="Arial"/>
          <w:lang w:val="es-ES"/>
        </w:rPr>
        <w:t xml:space="preserve">Alonso-García, S., Martínez-Domingo, J. A., </w:t>
      </w:r>
      <w:proofErr w:type="spellStart"/>
      <w:r w:rsidRPr="00ED670E">
        <w:rPr>
          <w:rFonts w:ascii="Arial" w:hAnsi="Arial" w:cs="Arial"/>
          <w:lang w:val="es-ES"/>
        </w:rPr>
        <w:t>Berral</w:t>
      </w:r>
      <w:proofErr w:type="spellEnd"/>
      <w:r w:rsidRPr="00ED670E">
        <w:rPr>
          <w:rFonts w:ascii="Arial" w:hAnsi="Arial" w:cs="Arial"/>
          <w:lang w:val="es-ES"/>
        </w:rPr>
        <w:t xml:space="preserve">-Ortiz, B., &amp; De la Cruz-Campos, J. C. </w:t>
      </w:r>
    </w:p>
    <w:p w14:paraId="296E2E34" w14:textId="7702C314" w:rsidR="00ED670E" w:rsidRPr="00ED670E" w:rsidRDefault="00ED670E" w:rsidP="00DD046F">
      <w:pPr>
        <w:spacing w:after="0"/>
        <w:ind w:left="720"/>
        <w:rPr>
          <w:rFonts w:ascii="Arial" w:hAnsi="Arial" w:cs="Arial"/>
          <w:lang w:val="es-ES"/>
        </w:rPr>
      </w:pPr>
      <w:r w:rsidRPr="00ED670E">
        <w:rPr>
          <w:rFonts w:ascii="Arial" w:hAnsi="Arial" w:cs="Arial"/>
          <w:lang w:val="es-ES"/>
        </w:rPr>
        <w:t>(2021). Gamificación en Educación Superior. Revisión de experiencias realizadas en España en los últimos años. </w:t>
      </w:r>
      <w:proofErr w:type="spellStart"/>
      <w:r w:rsidRPr="00ED670E">
        <w:rPr>
          <w:rFonts w:ascii="Arial" w:hAnsi="Arial" w:cs="Arial"/>
          <w:i/>
          <w:iCs/>
          <w:lang w:val="es-ES"/>
        </w:rPr>
        <w:t>Hachetetepé</w:t>
      </w:r>
      <w:proofErr w:type="spellEnd"/>
      <w:r w:rsidRPr="00ED670E">
        <w:rPr>
          <w:rFonts w:ascii="Arial" w:hAnsi="Arial" w:cs="Arial"/>
          <w:i/>
          <w:iCs/>
          <w:lang w:val="es-ES"/>
        </w:rPr>
        <w:t xml:space="preserve">. Revista científica De </w:t>
      </w:r>
      <w:r w:rsidRPr="00ED670E">
        <w:rPr>
          <w:rFonts w:ascii="Arial" w:hAnsi="Arial" w:cs="Arial"/>
          <w:i/>
          <w:iCs/>
          <w:lang w:val="es-ES"/>
        </w:rPr>
        <w:lastRenderedPageBreak/>
        <w:t>Educación Y Comunicación</w:t>
      </w:r>
      <w:r w:rsidRPr="00ED670E">
        <w:rPr>
          <w:rFonts w:ascii="Arial" w:hAnsi="Arial" w:cs="Arial"/>
          <w:lang w:val="es-ES"/>
        </w:rPr>
        <w:t xml:space="preserve">, (23), 2205. </w:t>
      </w:r>
      <w:hyperlink r:id="rId9" w:history="1">
        <w:r w:rsidRPr="00ED670E">
          <w:rPr>
            <w:rStyle w:val="Hyperlink"/>
            <w:rFonts w:ascii="Arial" w:hAnsi="Arial" w:cs="Arial"/>
            <w:lang w:val="es-ES"/>
          </w:rPr>
          <w:t>https://doi.org/10.25267/Hachetetepe.2021.i23.2205</w:t>
        </w:r>
      </w:hyperlink>
    </w:p>
    <w:p w14:paraId="71C12EE7" w14:textId="77777777" w:rsidR="00500F71" w:rsidRDefault="00ED670E" w:rsidP="00DD046F">
      <w:pPr>
        <w:spacing w:after="0"/>
        <w:rPr>
          <w:rFonts w:ascii="Arial" w:hAnsi="Arial" w:cs="Arial"/>
          <w:lang w:val="en-US"/>
        </w:rPr>
      </w:pPr>
      <w:r w:rsidRPr="00ED670E">
        <w:rPr>
          <w:rFonts w:ascii="Arial" w:hAnsi="Arial" w:cs="Arial"/>
          <w:lang w:val="en-US"/>
        </w:rPr>
        <w:t xml:space="preserve">Andrews, J., Smith, R., &amp; Thompson, L. (2025). Explainable reinforcement learning for </w:t>
      </w:r>
    </w:p>
    <w:p w14:paraId="3244F772" w14:textId="4363282D" w:rsidR="00ED670E" w:rsidRPr="00ED670E" w:rsidRDefault="00ED670E" w:rsidP="00DD046F">
      <w:pPr>
        <w:spacing w:after="0"/>
        <w:ind w:left="720"/>
        <w:rPr>
          <w:rFonts w:ascii="Arial" w:hAnsi="Arial" w:cs="Arial"/>
          <w:lang w:val="en-US"/>
        </w:rPr>
      </w:pPr>
      <w:r w:rsidRPr="00ED670E">
        <w:rPr>
          <w:rFonts w:ascii="Arial" w:hAnsi="Arial" w:cs="Arial"/>
          <w:lang w:val="en-US"/>
        </w:rPr>
        <w:t xml:space="preserve">powertrain control engineering. </w:t>
      </w:r>
      <w:r w:rsidRPr="00500F71">
        <w:rPr>
          <w:rFonts w:ascii="Arial" w:hAnsi="Arial" w:cs="Arial"/>
          <w:i/>
          <w:iCs/>
          <w:lang w:val="en-US"/>
        </w:rPr>
        <w:t>Artificial Intelligence in Education</w:t>
      </w:r>
      <w:r w:rsidRPr="00ED670E">
        <w:rPr>
          <w:rFonts w:ascii="Arial" w:hAnsi="Arial" w:cs="Arial"/>
          <w:lang w:val="en-US"/>
        </w:rPr>
        <w:t xml:space="preserve">, 58(2), 205-221. </w:t>
      </w:r>
      <w:hyperlink r:id="rId10" w:history="1">
        <w:r w:rsidR="00500F71" w:rsidRPr="00F47AEB">
          <w:rPr>
            <w:rStyle w:val="Hyperlink"/>
            <w:rFonts w:ascii="Arial" w:hAnsi="Arial" w:cs="Arial"/>
            <w:lang w:val="en-US"/>
          </w:rPr>
          <w:t>https://doi.org/10.1016/j.engappai.2025.110135</w:t>
        </w:r>
      </w:hyperlink>
    </w:p>
    <w:p w14:paraId="627CAB0F" w14:textId="77777777" w:rsidR="00500F71" w:rsidRDefault="00ED670E" w:rsidP="00DD046F">
      <w:pPr>
        <w:spacing w:after="0"/>
        <w:rPr>
          <w:rFonts w:ascii="Arial" w:hAnsi="Arial" w:cs="Arial"/>
          <w:lang w:val="es-PY"/>
        </w:rPr>
      </w:pPr>
      <w:r w:rsidRPr="00657670">
        <w:rPr>
          <w:rFonts w:ascii="Arial" w:hAnsi="Arial" w:cs="Arial"/>
          <w:lang w:val="es-ES"/>
        </w:rPr>
        <w:t xml:space="preserve">Báez Sánchez, L. (2023). </w:t>
      </w:r>
      <w:r w:rsidRPr="00ED670E">
        <w:rPr>
          <w:rFonts w:ascii="Arial" w:hAnsi="Arial" w:cs="Arial"/>
          <w:lang w:val="es-PY"/>
        </w:rPr>
        <w:t xml:space="preserve">Ecosistemas digitales sostenibles: Una propuesta ecológica </w:t>
      </w:r>
    </w:p>
    <w:p w14:paraId="1AD59667" w14:textId="4572DC5D" w:rsidR="00ED670E" w:rsidRPr="00ED670E" w:rsidRDefault="00ED670E" w:rsidP="00DD046F">
      <w:pPr>
        <w:spacing w:after="0"/>
        <w:ind w:left="720"/>
        <w:rPr>
          <w:rFonts w:ascii="Arial" w:hAnsi="Arial" w:cs="Arial"/>
          <w:lang w:val="es-PY"/>
        </w:rPr>
      </w:pPr>
      <w:r w:rsidRPr="00ED670E">
        <w:rPr>
          <w:rFonts w:ascii="Arial" w:hAnsi="Arial" w:cs="Arial"/>
          <w:lang w:val="es-PY"/>
        </w:rPr>
        <w:t xml:space="preserve">para la transformación </w:t>
      </w:r>
      <w:proofErr w:type="gramStart"/>
      <w:r w:rsidRPr="00ED670E">
        <w:rPr>
          <w:rFonts w:ascii="Arial" w:hAnsi="Arial" w:cs="Arial"/>
          <w:lang w:val="es-PY"/>
        </w:rPr>
        <w:t>digital .</w:t>
      </w:r>
      <w:proofErr w:type="gramEnd"/>
      <w:r w:rsidRPr="00ED670E">
        <w:rPr>
          <w:rFonts w:ascii="Arial" w:hAnsi="Arial" w:cs="Arial"/>
          <w:lang w:val="es-PY"/>
        </w:rPr>
        <w:t xml:space="preserve"> </w:t>
      </w:r>
      <w:r w:rsidRPr="00500F71">
        <w:rPr>
          <w:rFonts w:ascii="Arial" w:hAnsi="Arial" w:cs="Arial"/>
          <w:i/>
          <w:iCs/>
          <w:lang w:val="es-PY"/>
        </w:rPr>
        <w:t>Revista Cubana De Transformación Digital</w:t>
      </w:r>
      <w:r w:rsidRPr="00ED670E">
        <w:rPr>
          <w:rFonts w:ascii="Arial" w:hAnsi="Arial" w:cs="Arial"/>
          <w:lang w:val="es-PY"/>
        </w:rPr>
        <w:t xml:space="preserve">, 4(4), e239:1–26. Recuperado a partir de </w:t>
      </w:r>
      <w:hyperlink r:id="rId11" w:history="1">
        <w:r w:rsidRPr="00ED670E">
          <w:rPr>
            <w:rStyle w:val="Hyperlink"/>
            <w:rFonts w:ascii="Arial" w:hAnsi="Arial" w:cs="Arial"/>
            <w:lang w:val="es-PY"/>
          </w:rPr>
          <w:t>https://rctd.uic.cu/rctd/article/view/239</w:t>
        </w:r>
      </w:hyperlink>
      <w:r w:rsidRPr="00ED670E">
        <w:rPr>
          <w:rFonts w:ascii="Arial" w:hAnsi="Arial" w:cs="Arial"/>
          <w:lang w:val="es-PY"/>
        </w:rPr>
        <w:t xml:space="preserve"> </w:t>
      </w:r>
    </w:p>
    <w:p w14:paraId="216DF4EB" w14:textId="77777777" w:rsidR="00500F71" w:rsidRDefault="00ED670E" w:rsidP="00DD046F">
      <w:pPr>
        <w:spacing w:after="0"/>
        <w:rPr>
          <w:rFonts w:ascii="Arial" w:hAnsi="Arial" w:cs="Arial"/>
          <w:lang w:val="es-ES"/>
        </w:rPr>
      </w:pPr>
      <w:r w:rsidRPr="00ED670E">
        <w:rPr>
          <w:rFonts w:ascii="Arial" w:hAnsi="Arial" w:cs="Arial"/>
          <w:lang w:val="es-ES"/>
        </w:rPr>
        <w:t xml:space="preserve">Basantes Arellano, L. C., Vallejo Echeverria, B. A., Basantes Arellano, M. A., Echeverria </w:t>
      </w:r>
    </w:p>
    <w:p w14:paraId="0EF7AA90" w14:textId="63BB3F08"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Galeas, A. F., &amp; Zambrano Guerrero, W. A. (2025). Impacto de las tendencias tecnológicas emergentes en la educación del futuro en Ecuador: Escenarios y proyecciones. </w:t>
      </w:r>
      <w:proofErr w:type="spellStart"/>
      <w:r w:rsidRPr="00500F71">
        <w:rPr>
          <w:rFonts w:ascii="Arial" w:hAnsi="Arial" w:cs="Arial"/>
          <w:i/>
          <w:iCs/>
          <w:lang w:val="es-ES"/>
        </w:rPr>
        <w:t>Arandu</w:t>
      </w:r>
      <w:proofErr w:type="spellEnd"/>
      <w:r w:rsidRPr="00500F71">
        <w:rPr>
          <w:rFonts w:ascii="Arial" w:hAnsi="Arial" w:cs="Arial"/>
          <w:i/>
          <w:iCs/>
          <w:lang w:val="es-ES"/>
        </w:rPr>
        <w:t xml:space="preserve"> UTIC</w:t>
      </w:r>
      <w:r w:rsidRPr="00ED670E">
        <w:rPr>
          <w:rFonts w:ascii="Arial" w:hAnsi="Arial" w:cs="Arial"/>
          <w:lang w:val="es-ES"/>
        </w:rPr>
        <w:t xml:space="preserve">, 12(1), 645–659. </w:t>
      </w:r>
      <w:hyperlink r:id="rId12" w:history="1">
        <w:r w:rsidRPr="00ED670E">
          <w:rPr>
            <w:rStyle w:val="Hyperlink"/>
            <w:rFonts w:ascii="Arial" w:hAnsi="Arial" w:cs="Arial"/>
            <w:lang w:val="es-ES"/>
          </w:rPr>
          <w:t>https://doi.org/10.69639/arandu.v12i1.631</w:t>
        </w:r>
      </w:hyperlink>
      <w:r w:rsidRPr="00ED670E">
        <w:rPr>
          <w:rFonts w:ascii="Arial" w:hAnsi="Arial" w:cs="Arial"/>
          <w:lang w:val="es-ES"/>
        </w:rPr>
        <w:t xml:space="preserve"> </w:t>
      </w:r>
    </w:p>
    <w:p w14:paraId="12A1574C" w14:textId="77777777" w:rsidR="00500F71" w:rsidRDefault="00ED670E" w:rsidP="00DD046F">
      <w:pPr>
        <w:spacing w:after="0"/>
        <w:rPr>
          <w:rFonts w:ascii="Arial" w:hAnsi="Arial" w:cs="Arial"/>
          <w:lang w:val="es-ES"/>
        </w:rPr>
      </w:pPr>
      <w:r w:rsidRPr="00ED670E">
        <w:rPr>
          <w:rFonts w:ascii="Arial" w:hAnsi="Arial" w:cs="Arial"/>
          <w:lang w:val="es-ES"/>
        </w:rPr>
        <w:t xml:space="preserve">Borja, Y., Gutiérrez, G., Zapata, V., y Salinas, A., (2025) Hacia una enseñanza más </w:t>
      </w:r>
    </w:p>
    <w:p w14:paraId="4E57122E" w14:textId="12599B23"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adaptativa y eficiente en la educación superior: el impacto de la inteligencia artificial en la transformación de las estrategias docentes y el aprendizaje personalizado. </w:t>
      </w:r>
      <w:proofErr w:type="spellStart"/>
      <w:r w:rsidRPr="00ED670E">
        <w:rPr>
          <w:rFonts w:ascii="Arial" w:hAnsi="Arial" w:cs="Arial"/>
          <w:lang w:val="es-ES"/>
        </w:rPr>
        <w:t>Reincisol</w:t>
      </w:r>
      <w:proofErr w:type="spellEnd"/>
      <w:r w:rsidRPr="00ED670E">
        <w:rPr>
          <w:rFonts w:ascii="Arial" w:hAnsi="Arial" w:cs="Arial"/>
          <w:lang w:val="es-ES"/>
        </w:rPr>
        <w:t>, 4(7), 1221-1244. https://doi.org/10.59282/reincisol.V4(7)1221-1244</w:t>
      </w:r>
      <w:r w:rsidRPr="00ED670E">
        <w:rPr>
          <w:rFonts w:ascii="Arial" w:hAnsi="Arial" w:cs="Arial"/>
          <w:lang w:val="es-ES"/>
        </w:rPr>
        <w:cr/>
      </w:r>
      <w:proofErr w:type="spellStart"/>
      <w:r w:rsidRPr="00ED670E">
        <w:rPr>
          <w:rFonts w:ascii="Arial" w:hAnsi="Arial" w:cs="Arial"/>
          <w:lang w:val="es-ES"/>
        </w:rPr>
        <w:t>Britez</w:t>
      </w:r>
      <w:proofErr w:type="spellEnd"/>
      <w:r w:rsidRPr="00ED670E">
        <w:rPr>
          <w:rFonts w:ascii="Arial" w:hAnsi="Arial" w:cs="Arial"/>
          <w:lang w:val="es-ES"/>
        </w:rPr>
        <w:t xml:space="preserve">, M. (2020). Materiales formativos multimedia: recurso para la producción, transmisión y generación de nuevos conocimientos. </w:t>
      </w:r>
      <w:r w:rsidRPr="00ED670E">
        <w:rPr>
          <w:rFonts w:ascii="Arial" w:hAnsi="Arial" w:cs="Arial"/>
          <w:i/>
          <w:iCs/>
          <w:lang w:val="es-ES"/>
        </w:rPr>
        <w:t>Revista Paraguaya de Educación a Distancia</w:t>
      </w:r>
      <w:r w:rsidRPr="00ED670E">
        <w:rPr>
          <w:rFonts w:ascii="Arial" w:hAnsi="Arial" w:cs="Arial"/>
          <w:lang w:val="es-ES"/>
        </w:rPr>
        <w:t>, 1 (2), 67-78.</w:t>
      </w:r>
    </w:p>
    <w:p w14:paraId="2F44EF18" w14:textId="77777777" w:rsidR="00500F71" w:rsidRDefault="00ED670E" w:rsidP="00DD046F">
      <w:pPr>
        <w:spacing w:after="0"/>
        <w:rPr>
          <w:rFonts w:ascii="Arial" w:hAnsi="Arial" w:cs="Arial"/>
          <w:lang w:val="es-PY"/>
        </w:rPr>
      </w:pPr>
      <w:r w:rsidRPr="00ED670E">
        <w:rPr>
          <w:rFonts w:ascii="Arial" w:hAnsi="Arial" w:cs="Arial"/>
          <w:lang w:val="es-PY"/>
        </w:rPr>
        <w:t xml:space="preserve">Cabero-Almenara, J., &amp; Palacios-Rodríguez, A. (2021). La evaluación de la educación </w:t>
      </w:r>
    </w:p>
    <w:p w14:paraId="7D614D91" w14:textId="529EC052" w:rsidR="00ED670E" w:rsidRPr="00ED670E" w:rsidRDefault="00ED670E" w:rsidP="00DD046F">
      <w:pPr>
        <w:spacing w:after="0"/>
        <w:ind w:left="720"/>
        <w:rPr>
          <w:rFonts w:ascii="Arial" w:hAnsi="Arial" w:cs="Arial"/>
          <w:lang w:val="es-ES"/>
        </w:rPr>
      </w:pPr>
      <w:r w:rsidRPr="00ED670E">
        <w:rPr>
          <w:rFonts w:ascii="Arial" w:hAnsi="Arial" w:cs="Arial"/>
          <w:lang w:val="es-PY"/>
        </w:rPr>
        <w:t xml:space="preserve">virtual: las e-actividades. </w:t>
      </w:r>
      <w:r w:rsidRPr="00500F71">
        <w:rPr>
          <w:rFonts w:ascii="Arial" w:hAnsi="Arial" w:cs="Arial"/>
          <w:i/>
          <w:iCs/>
          <w:lang w:val="es-PY"/>
        </w:rPr>
        <w:t>RIED-Revista Iberoamericana de Educación a Distancia</w:t>
      </w:r>
      <w:r w:rsidRPr="00ED670E">
        <w:rPr>
          <w:rFonts w:ascii="Arial" w:hAnsi="Arial" w:cs="Arial"/>
          <w:lang w:val="es-PY"/>
        </w:rPr>
        <w:t xml:space="preserve">, 24(2), 169–188. </w:t>
      </w:r>
      <w:hyperlink r:id="rId13" w:history="1">
        <w:r w:rsidRPr="00ED670E">
          <w:rPr>
            <w:rStyle w:val="Hyperlink"/>
            <w:rFonts w:ascii="Arial" w:hAnsi="Arial" w:cs="Arial"/>
            <w:lang w:val="es-PY"/>
          </w:rPr>
          <w:t>https://doi.org/10.5944/ried.24.2.28994</w:t>
        </w:r>
      </w:hyperlink>
    </w:p>
    <w:p w14:paraId="312D6C8F" w14:textId="77777777" w:rsidR="00500F71" w:rsidRDefault="00ED670E" w:rsidP="00DD046F">
      <w:pPr>
        <w:spacing w:after="0"/>
        <w:rPr>
          <w:rFonts w:ascii="Arial" w:hAnsi="Arial" w:cs="Arial"/>
          <w:lang w:val="es-ES"/>
        </w:rPr>
      </w:pPr>
      <w:r w:rsidRPr="00ED670E">
        <w:rPr>
          <w:rFonts w:ascii="Arial" w:hAnsi="Arial" w:cs="Arial"/>
          <w:lang w:val="es-ES"/>
        </w:rPr>
        <w:t xml:space="preserve">Campaña Latinoamericana por el Derecho a la Educación [CLADE]. (2024). </w:t>
      </w:r>
    </w:p>
    <w:p w14:paraId="18E9B23B" w14:textId="02953561" w:rsidR="00ED670E" w:rsidRPr="00ED670E" w:rsidRDefault="00ED670E" w:rsidP="00DD046F">
      <w:pPr>
        <w:spacing w:after="0"/>
        <w:ind w:left="720"/>
        <w:rPr>
          <w:rFonts w:ascii="Arial" w:hAnsi="Arial" w:cs="Arial"/>
        </w:rPr>
      </w:pPr>
      <w:r w:rsidRPr="00ED670E">
        <w:rPr>
          <w:rFonts w:ascii="Arial" w:hAnsi="Arial" w:cs="Arial"/>
          <w:i/>
          <w:iCs/>
          <w:lang w:val="es-ES"/>
        </w:rPr>
        <w:t>Gobernanza de la digitalización de la educación: reflexiones desde América Latina y el Caribe.</w:t>
      </w:r>
      <w:r w:rsidRPr="00ED670E">
        <w:rPr>
          <w:rFonts w:ascii="Arial" w:hAnsi="Arial" w:cs="Arial"/>
          <w:lang w:val="es-ES"/>
        </w:rPr>
        <w:t xml:space="preserve"> </w:t>
      </w:r>
      <w:hyperlink r:id="rId14" w:tgtFrame="_blank" w:history="1">
        <w:r w:rsidRPr="00ED670E">
          <w:rPr>
            <w:rStyle w:val="Hyperlink"/>
            <w:rFonts w:ascii="Arial" w:hAnsi="Arial" w:cs="Arial"/>
          </w:rPr>
          <w:t>https://redclade.org/wp-content/uploads/Gobernanza-de-la-digitalizacion_03-07_1p.pdf</w:t>
        </w:r>
      </w:hyperlink>
    </w:p>
    <w:p w14:paraId="41E8BA99" w14:textId="77777777" w:rsidR="00500F71" w:rsidRDefault="00ED670E" w:rsidP="00DD046F">
      <w:pPr>
        <w:spacing w:after="0"/>
        <w:rPr>
          <w:rFonts w:ascii="Arial" w:hAnsi="Arial" w:cs="Arial"/>
          <w:lang w:val="es-ES"/>
        </w:rPr>
      </w:pPr>
      <w:r w:rsidRPr="00ED670E">
        <w:rPr>
          <w:rFonts w:ascii="Arial" w:hAnsi="Arial" w:cs="Arial"/>
          <w:lang w:val="es-ES"/>
        </w:rPr>
        <w:t xml:space="preserve">Carbajal Destre, P., Rodríguez Barboza, J. R., Palacios Garay, J., Ávila Sánchez, G. A., </w:t>
      </w:r>
    </w:p>
    <w:p w14:paraId="58675354" w14:textId="36AA64C5" w:rsidR="00ED670E" w:rsidRPr="00ED670E" w:rsidRDefault="00ED670E" w:rsidP="00DD046F">
      <w:pPr>
        <w:spacing w:after="0"/>
        <w:ind w:left="720"/>
        <w:rPr>
          <w:rFonts w:ascii="Arial" w:hAnsi="Arial" w:cs="Arial"/>
          <w:lang w:val="es-ES"/>
        </w:rPr>
      </w:pPr>
      <w:r w:rsidRPr="00ED670E">
        <w:rPr>
          <w:rFonts w:ascii="Arial" w:hAnsi="Arial" w:cs="Arial"/>
          <w:lang w:val="es-ES"/>
        </w:rPr>
        <w:t>&amp; Cadenillas Albornoz, V. (2022). Gamificación como técnica de motivación en el nivel superior. </w:t>
      </w:r>
      <w:r w:rsidRPr="00ED670E">
        <w:rPr>
          <w:rFonts w:ascii="Arial" w:hAnsi="Arial" w:cs="Arial"/>
          <w:i/>
          <w:iCs/>
          <w:lang w:val="es-ES"/>
        </w:rPr>
        <w:t>Horizontes. Revista De Investigación En Ciencias De La Educación</w:t>
      </w:r>
      <w:r w:rsidRPr="00ED670E">
        <w:rPr>
          <w:rFonts w:ascii="Arial" w:hAnsi="Arial" w:cs="Arial"/>
          <w:lang w:val="es-ES"/>
        </w:rPr>
        <w:t>, </w:t>
      </w:r>
      <w:r w:rsidRPr="00ED670E">
        <w:rPr>
          <w:rFonts w:ascii="Arial" w:hAnsi="Arial" w:cs="Arial"/>
          <w:i/>
          <w:iCs/>
          <w:lang w:val="es-ES"/>
        </w:rPr>
        <w:t>6</w:t>
      </w:r>
      <w:r w:rsidRPr="00ED670E">
        <w:rPr>
          <w:rFonts w:ascii="Arial" w:hAnsi="Arial" w:cs="Arial"/>
          <w:lang w:val="es-ES"/>
        </w:rPr>
        <w:t>(23), 484–496. https://doi.org/10.33996/revistahorizontes.v6i23.351</w:t>
      </w:r>
    </w:p>
    <w:p w14:paraId="1EFCE709" w14:textId="77777777" w:rsidR="00500F71" w:rsidRDefault="00ED670E" w:rsidP="00DD046F">
      <w:pPr>
        <w:spacing w:after="0"/>
        <w:rPr>
          <w:rFonts w:ascii="Arial" w:hAnsi="Arial" w:cs="Arial"/>
          <w:lang w:val="es-ES"/>
        </w:rPr>
      </w:pPr>
      <w:r w:rsidRPr="00ED670E">
        <w:rPr>
          <w:rFonts w:ascii="Arial" w:hAnsi="Arial" w:cs="Arial"/>
          <w:lang w:val="es-ES"/>
        </w:rPr>
        <w:t xml:space="preserve">Carrasco Corpus, P. L., (2022). El uso del aula invertida para un aprendizaje dinámico y </w:t>
      </w:r>
    </w:p>
    <w:p w14:paraId="0EF4ABD0" w14:textId="184B620A" w:rsidR="00ED670E" w:rsidRPr="00ED670E" w:rsidRDefault="00ED670E" w:rsidP="00DD046F">
      <w:pPr>
        <w:spacing w:after="0"/>
        <w:ind w:firstLine="720"/>
        <w:rPr>
          <w:rFonts w:ascii="Arial" w:hAnsi="Arial" w:cs="Arial"/>
          <w:lang w:val="es-ES"/>
        </w:rPr>
      </w:pPr>
      <w:r w:rsidRPr="00ED670E">
        <w:rPr>
          <w:rFonts w:ascii="Arial" w:hAnsi="Arial" w:cs="Arial"/>
          <w:lang w:val="es-ES"/>
        </w:rPr>
        <w:t xml:space="preserve">participativo. </w:t>
      </w:r>
      <w:r w:rsidRPr="00500F71">
        <w:rPr>
          <w:rFonts w:ascii="Arial" w:hAnsi="Arial" w:cs="Arial"/>
          <w:i/>
          <w:iCs/>
          <w:lang w:val="es-ES"/>
        </w:rPr>
        <w:t>Revista Metropolitana de Ciencias Aplicadas</w:t>
      </w:r>
      <w:r w:rsidRPr="00ED670E">
        <w:rPr>
          <w:rFonts w:ascii="Arial" w:hAnsi="Arial" w:cs="Arial"/>
          <w:lang w:val="es-ES"/>
        </w:rPr>
        <w:t>, 5(1), 83-88.</w:t>
      </w:r>
    </w:p>
    <w:p w14:paraId="6A211C61" w14:textId="77777777" w:rsidR="00500F71" w:rsidRDefault="00ED670E" w:rsidP="00DD046F">
      <w:pPr>
        <w:spacing w:after="0"/>
        <w:rPr>
          <w:rFonts w:ascii="Arial" w:hAnsi="Arial" w:cs="Arial"/>
          <w:lang w:val="es-ES"/>
        </w:rPr>
      </w:pPr>
      <w:r w:rsidRPr="00ED670E">
        <w:rPr>
          <w:rFonts w:ascii="Arial" w:hAnsi="Arial" w:cs="Arial"/>
          <w:lang w:val="es-ES"/>
        </w:rPr>
        <w:t xml:space="preserve">Castro Monge, E. (2023). Factores a considerar para una educación a distancia </w:t>
      </w:r>
    </w:p>
    <w:p w14:paraId="5B700C6C" w14:textId="72A6FC8F"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inclusiva. </w:t>
      </w:r>
      <w:r w:rsidRPr="00500F71">
        <w:rPr>
          <w:rFonts w:ascii="Arial" w:hAnsi="Arial" w:cs="Arial"/>
          <w:i/>
          <w:iCs/>
          <w:lang w:val="es-ES"/>
        </w:rPr>
        <w:t>ACADEMO</w:t>
      </w:r>
      <w:r w:rsidRPr="00ED670E">
        <w:rPr>
          <w:rFonts w:ascii="Arial" w:hAnsi="Arial" w:cs="Arial"/>
          <w:lang w:val="es-ES"/>
        </w:rPr>
        <w:t>, 10(1):112-140. https://doi.org/10.30545/academo.2023.ene-jun.10</w:t>
      </w:r>
    </w:p>
    <w:p w14:paraId="2F4E5934" w14:textId="164227EC" w:rsidR="00500F71" w:rsidRDefault="00613269" w:rsidP="00DD046F">
      <w:pPr>
        <w:spacing w:after="0"/>
        <w:rPr>
          <w:rFonts w:ascii="Arial" w:hAnsi="Arial" w:cs="Arial"/>
          <w:lang w:val="es-ES"/>
        </w:rPr>
      </w:pPr>
      <w:r w:rsidRPr="00ED670E">
        <w:rPr>
          <w:rFonts w:ascii="Arial" w:hAnsi="Arial" w:cs="Arial"/>
          <w:lang w:val="es-ES"/>
        </w:rPr>
        <w:t>Chávez</w:t>
      </w:r>
      <w:r w:rsidR="00ED670E" w:rsidRPr="00ED670E">
        <w:rPr>
          <w:rFonts w:ascii="Arial" w:hAnsi="Arial" w:cs="Arial"/>
          <w:lang w:val="es-ES"/>
        </w:rPr>
        <w:t xml:space="preserve"> </w:t>
      </w:r>
      <w:proofErr w:type="spellStart"/>
      <w:r w:rsidR="00ED670E" w:rsidRPr="00ED670E">
        <w:rPr>
          <w:rFonts w:ascii="Arial" w:hAnsi="Arial" w:cs="Arial"/>
          <w:lang w:val="es-ES"/>
        </w:rPr>
        <w:t>Taipe</w:t>
      </w:r>
      <w:proofErr w:type="spellEnd"/>
      <w:r w:rsidR="00ED670E" w:rsidRPr="00ED670E">
        <w:rPr>
          <w:rFonts w:ascii="Arial" w:hAnsi="Arial" w:cs="Arial"/>
          <w:lang w:val="es-ES"/>
        </w:rPr>
        <w:t xml:space="preserve">, </w:t>
      </w:r>
      <w:proofErr w:type="spellStart"/>
      <w:r w:rsidR="00ED670E" w:rsidRPr="00ED670E">
        <w:rPr>
          <w:rFonts w:ascii="Arial" w:hAnsi="Arial" w:cs="Arial"/>
          <w:lang w:val="es-ES"/>
        </w:rPr>
        <w:t>Ysabel</w:t>
      </w:r>
      <w:proofErr w:type="spellEnd"/>
      <w:r w:rsidR="00ED670E" w:rsidRPr="00ED670E">
        <w:rPr>
          <w:rFonts w:ascii="Arial" w:hAnsi="Arial" w:cs="Arial"/>
          <w:lang w:val="es-ES"/>
        </w:rPr>
        <w:t xml:space="preserve"> Victoria, Lozano </w:t>
      </w:r>
      <w:proofErr w:type="spellStart"/>
      <w:r w:rsidR="00ED670E" w:rsidRPr="00ED670E">
        <w:rPr>
          <w:rFonts w:ascii="Arial" w:hAnsi="Arial" w:cs="Arial"/>
          <w:lang w:val="es-ES"/>
        </w:rPr>
        <w:t>Lozano</w:t>
      </w:r>
      <w:proofErr w:type="spellEnd"/>
      <w:r w:rsidR="00ED670E" w:rsidRPr="00ED670E">
        <w:rPr>
          <w:rFonts w:ascii="Arial" w:hAnsi="Arial" w:cs="Arial"/>
          <w:lang w:val="es-ES"/>
        </w:rPr>
        <w:t xml:space="preserve">, </w:t>
      </w:r>
      <w:proofErr w:type="spellStart"/>
      <w:r w:rsidR="00ED670E" w:rsidRPr="00ED670E">
        <w:rPr>
          <w:rFonts w:ascii="Arial" w:hAnsi="Arial" w:cs="Arial"/>
          <w:lang w:val="es-ES"/>
        </w:rPr>
        <w:t>Marile</w:t>
      </w:r>
      <w:proofErr w:type="spellEnd"/>
      <w:r w:rsidR="00ED670E" w:rsidRPr="00ED670E">
        <w:rPr>
          <w:rFonts w:ascii="Arial" w:hAnsi="Arial" w:cs="Arial"/>
          <w:lang w:val="es-ES"/>
        </w:rPr>
        <w:t xml:space="preserve">, &amp; Sánchez Ortega, Jaime </w:t>
      </w:r>
    </w:p>
    <w:p w14:paraId="74997E79" w14:textId="134A954D"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Agustín. (2025). Diseño universal para el aprendizaje: una revisión sistemática. </w:t>
      </w:r>
      <w:r w:rsidRPr="00500F71">
        <w:rPr>
          <w:rFonts w:ascii="Arial" w:hAnsi="Arial" w:cs="Arial"/>
          <w:i/>
          <w:iCs/>
          <w:lang w:val="es-ES"/>
        </w:rPr>
        <w:t xml:space="preserve">Revista </w:t>
      </w:r>
      <w:proofErr w:type="spellStart"/>
      <w:r w:rsidRPr="00500F71">
        <w:rPr>
          <w:rFonts w:ascii="Arial" w:hAnsi="Arial" w:cs="Arial"/>
          <w:i/>
          <w:iCs/>
          <w:lang w:val="es-ES"/>
        </w:rPr>
        <w:t>InveCom</w:t>
      </w:r>
      <w:proofErr w:type="spellEnd"/>
      <w:r w:rsidRPr="00ED670E">
        <w:rPr>
          <w:rFonts w:ascii="Arial" w:hAnsi="Arial" w:cs="Arial"/>
          <w:lang w:val="es-ES"/>
        </w:rPr>
        <w:t xml:space="preserve">, 5(2), e502004. </w:t>
      </w:r>
      <w:proofErr w:type="spellStart"/>
      <w:r w:rsidRPr="00ED670E">
        <w:rPr>
          <w:rFonts w:ascii="Arial" w:hAnsi="Arial" w:cs="Arial"/>
          <w:lang w:val="es-ES"/>
        </w:rPr>
        <w:t>Epub</w:t>
      </w:r>
      <w:proofErr w:type="spellEnd"/>
      <w:r w:rsidRPr="00ED670E">
        <w:rPr>
          <w:rFonts w:ascii="Arial" w:hAnsi="Arial" w:cs="Arial"/>
          <w:lang w:val="es-ES"/>
        </w:rPr>
        <w:t xml:space="preserve"> 15 de febrero de 2025.https://doi.org/10.5281/zenodo.12738427 </w:t>
      </w:r>
    </w:p>
    <w:p w14:paraId="61953892" w14:textId="77777777" w:rsidR="00500F71" w:rsidRDefault="00ED670E" w:rsidP="00DD046F">
      <w:pPr>
        <w:spacing w:after="0"/>
        <w:rPr>
          <w:rFonts w:ascii="Arial" w:hAnsi="Arial" w:cs="Arial"/>
          <w:lang w:val="es-ES"/>
        </w:rPr>
      </w:pPr>
      <w:proofErr w:type="spellStart"/>
      <w:r w:rsidRPr="00ED670E">
        <w:rPr>
          <w:rFonts w:ascii="Arial" w:hAnsi="Arial" w:cs="Arial"/>
          <w:lang w:val="es-ES"/>
        </w:rPr>
        <w:t>Damacen</w:t>
      </w:r>
      <w:proofErr w:type="spellEnd"/>
      <w:r w:rsidRPr="00ED670E">
        <w:rPr>
          <w:rFonts w:ascii="Arial" w:hAnsi="Arial" w:cs="Arial"/>
          <w:lang w:val="es-ES"/>
        </w:rPr>
        <w:t xml:space="preserve"> Oblitas, T. L., &amp; Teves Quispe, J. (2025). La Educación Virtual para los </w:t>
      </w:r>
    </w:p>
    <w:p w14:paraId="3F95CFBC" w14:textId="1A42D4FB" w:rsidR="00ED670E" w:rsidRPr="00ED670E" w:rsidRDefault="00ED670E" w:rsidP="00DD046F">
      <w:pPr>
        <w:spacing w:after="0"/>
        <w:ind w:left="720"/>
        <w:rPr>
          <w:rFonts w:ascii="Arial" w:hAnsi="Arial" w:cs="Arial"/>
          <w:lang w:val="es-ES"/>
        </w:rPr>
      </w:pPr>
      <w:r w:rsidRPr="00ED670E">
        <w:rPr>
          <w:rFonts w:ascii="Arial" w:hAnsi="Arial" w:cs="Arial"/>
          <w:lang w:val="es-ES"/>
        </w:rPr>
        <w:t>estudiantes de educación superior</w:t>
      </w:r>
      <w:r w:rsidRPr="00500F71">
        <w:rPr>
          <w:rFonts w:ascii="Arial" w:hAnsi="Arial" w:cs="Arial"/>
          <w:i/>
          <w:iCs/>
          <w:lang w:val="es-ES"/>
        </w:rPr>
        <w:t xml:space="preserve">. </w:t>
      </w:r>
      <w:proofErr w:type="spellStart"/>
      <w:r w:rsidRPr="00500F71">
        <w:rPr>
          <w:rFonts w:ascii="Arial" w:hAnsi="Arial" w:cs="Arial"/>
          <w:i/>
          <w:iCs/>
          <w:lang w:val="es-ES"/>
        </w:rPr>
        <w:t>Arandu</w:t>
      </w:r>
      <w:proofErr w:type="spellEnd"/>
      <w:r w:rsidRPr="00500F71">
        <w:rPr>
          <w:rFonts w:ascii="Arial" w:hAnsi="Arial" w:cs="Arial"/>
          <w:i/>
          <w:iCs/>
          <w:lang w:val="es-ES"/>
        </w:rPr>
        <w:t xml:space="preserve"> UTIC</w:t>
      </w:r>
      <w:r w:rsidRPr="00ED670E">
        <w:rPr>
          <w:rFonts w:ascii="Arial" w:hAnsi="Arial" w:cs="Arial"/>
          <w:lang w:val="es-ES"/>
        </w:rPr>
        <w:t xml:space="preserve">, 12(1), 456–466. </w:t>
      </w:r>
      <w:hyperlink r:id="rId15" w:history="1">
        <w:r w:rsidR="00500F71" w:rsidRPr="00F47AEB">
          <w:rPr>
            <w:rStyle w:val="Hyperlink"/>
            <w:rFonts w:ascii="Arial" w:hAnsi="Arial" w:cs="Arial"/>
            <w:lang w:val="es-ES"/>
          </w:rPr>
          <w:t>https://doi.org/10.69639/arandu.v12i1.616</w:t>
        </w:r>
      </w:hyperlink>
      <w:r w:rsidRPr="00ED670E">
        <w:rPr>
          <w:rFonts w:ascii="Arial" w:hAnsi="Arial" w:cs="Arial"/>
          <w:lang w:val="es-ES"/>
        </w:rPr>
        <w:t xml:space="preserve"> </w:t>
      </w:r>
    </w:p>
    <w:p w14:paraId="009F107C" w14:textId="77777777" w:rsidR="00500F71" w:rsidRDefault="00ED670E" w:rsidP="00DD046F">
      <w:pPr>
        <w:spacing w:after="0"/>
        <w:rPr>
          <w:rFonts w:ascii="Arial" w:hAnsi="Arial" w:cs="Arial"/>
          <w:lang w:val="es-PY"/>
        </w:rPr>
      </w:pPr>
      <w:r w:rsidRPr="00ED670E">
        <w:rPr>
          <w:rFonts w:ascii="Arial" w:hAnsi="Arial" w:cs="Arial"/>
          <w:lang w:val="es-PY"/>
        </w:rPr>
        <w:t xml:space="preserve">De Souza </w:t>
      </w:r>
      <w:proofErr w:type="spellStart"/>
      <w:r w:rsidRPr="00ED670E">
        <w:rPr>
          <w:rFonts w:ascii="Arial" w:hAnsi="Arial" w:cs="Arial"/>
          <w:lang w:val="es-PY"/>
        </w:rPr>
        <w:t>Godinho</w:t>
      </w:r>
      <w:proofErr w:type="spellEnd"/>
      <w:r w:rsidRPr="00ED670E">
        <w:rPr>
          <w:rFonts w:ascii="Arial" w:hAnsi="Arial" w:cs="Arial"/>
          <w:lang w:val="es-PY"/>
        </w:rPr>
        <w:t xml:space="preserve">, S., </w:t>
      </w:r>
      <w:proofErr w:type="spellStart"/>
      <w:r w:rsidRPr="00ED670E">
        <w:rPr>
          <w:rFonts w:ascii="Arial" w:hAnsi="Arial" w:cs="Arial"/>
          <w:lang w:val="es-PY"/>
        </w:rPr>
        <w:t>Rivela</w:t>
      </w:r>
      <w:proofErr w:type="spellEnd"/>
      <w:r w:rsidRPr="00ED670E">
        <w:rPr>
          <w:rFonts w:ascii="Arial" w:hAnsi="Arial" w:cs="Arial"/>
          <w:lang w:val="es-PY"/>
        </w:rPr>
        <w:t xml:space="preserve">, C.V., Medrado, S. O., </w:t>
      </w:r>
      <w:proofErr w:type="spellStart"/>
      <w:r w:rsidRPr="00ED670E">
        <w:rPr>
          <w:rFonts w:ascii="Arial" w:hAnsi="Arial" w:cs="Arial"/>
          <w:lang w:val="es-PY"/>
        </w:rPr>
        <w:t>Marmo</w:t>
      </w:r>
      <w:proofErr w:type="spellEnd"/>
      <w:r w:rsidRPr="00ED670E">
        <w:rPr>
          <w:rFonts w:ascii="Arial" w:hAnsi="Arial" w:cs="Arial"/>
          <w:lang w:val="es-PY"/>
        </w:rPr>
        <w:t xml:space="preserve">, J.  </w:t>
      </w:r>
      <w:r w:rsidRPr="00ED670E">
        <w:rPr>
          <w:rFonts w:ascii="Arial" w:hAnsi="Arial" w:cs="Arial"/>
          <w:lang w:val="es-ES"/>
        </w:rPr>
        <w:t xml:space="preserve">&amp; </w:t>
      </w:r>
      <w:proofErr w:type="spellStart"/>
      <w:r w:rsidRPr="00ED670E">
        <w:rPr>
          <w:rFonts w:ascii="Arial" w:hAnsi="Arial" w:cs="Arial"/>
          <w:lang w:val="es-PY"/>
        </w:rPr>
        <w:t>Lanuque</w:t>
      </w:r>
      <w:proofErr w:type="spellEnd"/>
      <w:r w:rsidRPr="00ED670E">
        <w:rPr>
          <w:rFonts w:ascii="Arial" w:hAnsi="Arial" w:cs="Arial"/>
          <w:lang w:val="es-PY"/>
        </w:rPr>
        <w:t xml:space="preserve">, A. (2021). </w:t>
      </w:r>
    </w:p>
    <w:p w14:paraId="714F28CD" w14:textId="6F112AAD" w:rsidR="00ED670E" w:rsidRPr="00ED670E" w:rsidRDefault="00ED670E" w:rsidP="00DD046F">
      <w:pPr>
        <w:spacing w:after="0"/>
        <w:ind w:left="720"/>
        <w:rPr>
          <w:rFonts w:ascii="Arial" w:hAnsi="Arial" w:cs="Arial"/>
          <w:lang w:val="es-PY"/>
        </w:rPr>
      </w:pPr>
      <w:r w:rsidRPr="00ED670E">
        <w:rPr>
          <w:rFonts w:ascii="Arial" w:hAnsi="Arial" w:cs="Arial"/>
          <w:lang w:val="es-PY"/>
        </w:rPr>
        <w:t xml:space="preserve">Educación inclusiva y accesibilidad digital. </w:t>
      </w:r>
      <w:r w:rsidRPr="00500F71">
        <w:rPr>
          <w:rFonts w:ascii="Arial" w:hAnsi="Arial" w:cs="Arial"/>
          <w:i/>
          <w:iCs/>
          <w:lang w:val="es-PY"/>
        </w:rPr>
        <w:t xml:space="preserve">Revista Científica Arbitrada de la Fundación </w:t>
      </w:r>
      <w:proofErr w:type="spellStart"/>
      <w:r w:rsidRPr="00500F71">
        <w:rPr>
          <w:rFonts w:ascii="Arial" w:hAnsi="Arial" w:cs="Arial"/>
          <w:i/>
          <w:iCs/>
          <w:lang w:val="es-PY"/>
        </w:rPr>
        <w:t>MenteClara</w:t>
      </w:r>
      <w:proofErr w:type="spellEnd"/>
      <w:r w:rsidRPr="00ED670E">
        <w:rPr>
          <w:rFonts w:ascii="Arial" w:hAnsi="Arial" w:cs="Arial"/>
          <w:lang w:val="es-PY"/>
        </w:rPr>
        <w:t xml:space="preserve">, Vol. 6 (249). DOI: </w:t>
      </w:r>
      <w:hyperlink r:id="rId16" w:history="1">
        <w:r w:rsidRPr="00ED670E">
          <w:rPr>
            <w:rStyle w:val="Hyperlink"/>
            <w:rFonts w:ascii="Arial" w:hAnsi="Arial" w:cs="Arial"/>
            <w:lang w:val="es-PY"/>
          </w:rPr>
          <w:t>https://doi.org/10.32351/rca.v6.249</w:t>
        </w:r>
      </w:hyperlink>
      <w:r w:rsidRPr="00ED670E">
        <w:rPr>
          <w:rFonts w:ascii="Arial" w:hAnsi="Arial" w:cs="Arial"/>
          <w:lang w:val="es-PY"/>
        </w:rPr>
        <w:t xml:space="preserve"> </w:t>
      </w:r>
    </w:p>
    <w:p w14:paraId="740A338F" w14:textId="77777777" w:rsidR="00500F71" w:rsidRDefault="00ED670E" w:rsidP="00DD046F">
      <w:pPr>
        <w:spacing w:after="0"/>
        <w:rPr>
          <w:rFonts w:ascii="Arial" w:hAnsi="Arial" w:cs="Arial"/>
          <w:lang w:val="es-ES"/>
        </w:rPr>
      </w:pPr>
      <w:r w:rsidRPr="00ED670E">
        <w:rPr>
          <w:rFonts w:ascii="Arial" w:hAnsi="Arial" w:cs="Arial"/>
          <w:lang w:val="es-ES"/>
        </w:rPr>
        <w:t xml:space="preserve">Domínguez-Amorocho, Omar Alberto, Contreras Ramos, Luz Mery, Ramírez Lemus, </w:t>
      </w:r>
    </w:p>
    <w:p w14:paraId="04DD2195" w14:textId="71480C3B"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Gloria Marcela, &amp; Acevedo Alonso, Luis Carlos. (2021). Aprendizaje basado en proyectos como una estrategia para la enseñanza en ciencias de la salud. </w:t>
      </w:r>
      <w:r w:rsidRPr="00500F71">
        <w:rPr>
          <w:rFonts w:ascii="Arial" w:hAnsi="Arial" w:cs="Arial"/>
          <w:i/>
          <w:iCs/>
          <w:lang w:val="es-ES"/>
        </w:rPr>
        <w:t>Educación Médica Superior</w:t>
      </w:r>
      <w:r w:rsidRPr="00ED670E">
        <w:rPr>
          <w:rFonts w:ascii="Arial" w:hAnsi="Arial" w:cs="Arial"/>
          <w:lang w:val="es-ES"/>
        </w:rPr>
        <w:t xml:space="preserve">, 35(4). </w:t>
      </w:r>
      <w:hyperlink r:id="rId17" w:history="1">
        <w:r w:rsidRPr="00ED670E">
          <w:rPr>
            <w:rStyle w:val="Hyperlink"/>
            <w:rFonts w:ascii="Arial" w:hAnsi="Arial" w:cs="Arial"/>
            <w:lang w:val="es-ES"/>
          </w:rPr>
          <w:t>http://scielo.sld.cu/scielo.php?script=sci_arttext&amp;pid=S0864-21412021000400012&amp;lng=es&amp;tlng=es</w:t>
        </w:r>
      </w:hyperlink>
      <w:r w:rsidRPr="00ED670E">
        <w:rPr>
          <w:rFonts w:ascii="Arial" w:hAnsi="Arial" w:cs="Arial"/>
          <w:lang w:val="es-ES"/>
        </w:rPr>
        <w:t xml:space="preserve"> </w:t>
      </w:r>
    </w:p>
    <w:p w14:paraId="4307B11F" w14:textId="77777777" w:rsidR="00500F71" w:rsidRDefault="00ED670E" w:rsidP="00DD046F">
      <w:pPr>
        <w:spacing w:after="0"/>
        <w:rPr>
          <w:rFonts w:ascii="Arial" w:hAnsi="Arial" w:cs="Arial"/>
          <w:lang w:val="es-ES"/>
        </w:rPr>
      </w:pPr>
      <w:r w:rsidRPr="00ED670E">
        <w:rPr>
          <w:rFonts w:ascii="Arial" w:hAnsi="Arial" w:cs="Arial"/>
          <w:lang w:val="es-ES"/>
        </w:rPr>
        <w:t xml:space="preserve">Escaleras Medina, J. C., </w:t>
      </w:r>
      <w:proofErr w:type="spellStart"/>
      <w:r w:rsidRPr="00ED670E">
        <w:rPr>
          <w:rFonts w:ascii="Arial" w:hAnsi="Arial" w:cs="Arial"/>
          <w:lang w:val="es-ES"/>
        </w:rPr>
        <w:t>Pimbosa</w:t>
      </w:r>
      <w:proofErr w:type="spellEnd"/>
      <w:r w:rsidRPr="00ED670E">
        <w:rPr>
          <w:rFonts w:ascii="Arial" w:hAnsi="Arial" w:cs="Arial"/>
          <w:lang w:val="es-ES"/>
        </w:rPr>
        <w:t xml:space="preserve"> Ortiz, D. E., Sánchez Prado, R. G., Maldonado </w:t>
      </w:r>
    </w:p>
    <w:p w14:paraId="325E1431" w14:textId="4668F18E"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Guerrero, E. A., &amp; Carchi Tandazo, T. A. (2025). Impacto de la Inteligencia Artificial en el Proceso de Aprendizaje Universitario en América Latina: Una Revisión Sistemática. </w:t>
      </w:r>
      <w:proofErr w:type="spellStart"/>
      <w:r w:rsidRPr="00500F71">
        <w:rPr>
          <w:rFonts w:ascii="Arial" w:hAnsi="Arial" w:cs="Arial"/>
          <w:i/>
          <w:iCs/>
          <w:lang w:val="es-ES"/>
        </w:rPr>
        <w:t>Arandu</w:t>
      </w:r>
      <w:proofErr w:type="spellEnd"/>
      <w:r w:rsidRPr="00500F71">
        <w:rPr>
          <w:rFonts w:ascii="Arial" w:hAnsi="Arial" w:cs="Arial"/>
          <w:i/>
          <w:iCs/>
          <w:lang w:val="es-ES"/>
        </w:rPr>
        <w:t xml:space="preserve"> UTIC</w:t>
      </w:r>
      <w:r w:rsidRPr="00ED670E">
        <w:rPr>
          <w:rFonts w:ascii="Arial" w:hAnsi="Arial" w:cs="Arial"/>
          <w:lang w:val="es-ES"/>
        </w:rPr>
        <w:t xml:space="preserve">, 12(1), 2431–2448. </w:t>
      </w:r>
      <w:hyperlink r:id="rId18" w:history="1">
        <w:r w:rsidRPr="00ED670E">
          <w:rPr>
            <w:rStyle w:val="Hyperlink"/>
            <w:rFonts w:ascii="Arial" w:hAnsi="Arial" w:cs="Arial"/>
            <w:lang w:val="es-ES"/>
          </w:rPr>
          <w:t>https://doi.org/10.69639/arandu.v12i1.751</w:t>
        </w:r>
      </w:hyperlink>
      <w:r w:rsidRPr="00ED670E">
        <w:rPr>
          <w:rFonts w:ascii="Arial" w:hAnsi="Arial" w:cs="Arial"/>
          <w:lang w:val="es-ES"/>
        </w:rPr>
        <w:t xml:space="preserve"> </w:t>
      </w:r>
    </w:p>
    <w:p w14:paraId="605FDA9E" w14:textId="77777777" w:rsidR="00500F71" w:rsidRDefault="00ED670E" w:rsidP="00DD046F">
      <w:pPr>
        <w:spacing w:after="0"/>
        <w:rPr>
          <w:rFonts w:ascii="Arial" w:hAnsi="Arial" w:cs="Arial"/>
          <w:lang w:val="es-PY"/>
        </w:rPr>
      </w:pPr>
      <w:r w:rsidRPr="00ED670E">
        <w:rPr>
          <w:rFonts w:ascii="Arial" w:hAnsi="Arial" w:cs="Arial"/>
          <w:lang w:val="es-PY"/>
        </w:rPr>
        <w:t xml:space="preserve">Espinoza Bravo, M. G., Ríos Quiñónez, M. B., Castro Vargas, K. L., Velasco Moyano, C. </w:t>
      </w:r>
    </w:p>
    <w:p w14:paraId="5E396514" w14:textId="3EDA8652" w:rsidR="00ED670E" w:rsidRPr="00ED670E" w:rsidRDefault="00ED670E" w:rsidP="00DD046F">
      <w:pPr>
        <w:spacing w:after="0"/>
        <w:ind w:left="720"/>
        <w:rPr>
          <w:rFonts w:ascii="Arial" w:hAnsi="Arial" w:cs="Arial"/>
          <w:lang w:val="es-PY"/>
        </w:rPr>
      </w:pPr>
      <w:r w:rsidRPr="00ED670E">
        <w:rPr>
          <w:rFonts w:ascii="Arial" w:hAnsi="Arial" w:cs="Arial"/>
          <w:lang w:val="es-PY"/>
        </w:rPr>
        <w:t>B., &amp; Feijoo Mendieta, D. A. (2024). La influencia de tecnologías emergentes en la educación superior</w:t>
      </w:r>
      <w:r w:rsidR="00500F71">
        <w:rPr>
          <w:rFonts w:ascii="Arial" w:hAnsi="Arial" w:cs="Arial"/>
          <w:lang w:val="es-PY"/>
        </w:rPr>
        <w:t xml:space="preserve">. </w:t>
      </w:r>
      <w:r w:rsidRPr="00500F71">
        <w:rPr>
          <w:rFonts w:ascii="Arial" w:hAnsi="Arial" w:cs="Arial"/>
          <w:i/>
          <w:iCs/>
          <w:lang w:val="es-PY"/>
        </w:rPr>
        <w:t>LATAM Revista Latinoamericana De Ciencias Sociales Y Humanidades</w:t>
      </w:r>
      <w:r w:rsidRPr="00ED670E">
        <w:rPr>
          <w:rFonts w:ascii="Arial" w:hAnsi="Arial" w:cs="Arial"/>
          <w:lang w:val="es-PY"/>
        </w:rPr>
        <w:t xml:space="preserve">, 5(1), 894 – 904. </w:t>
      </w:r>
      <w:hyperlink r:id="rId19" w:history="1">
        <w:r w:rsidRPr="00ED670E">
          <w:rPr>
            <w:rStyle w:val="Hyperlink"/>
            <w:rFonts w:ascii="Arial" w:hAnsi="Arial" w:cs="Arial"/>
            <w:lang w:val="es-PY"/>
          </w:rPr>
          <w:t>https://doi.org/10.56712/latam.v5i1.1641</w:t>
        </w:r>
      </w:hyperlink>
    </w:p>
    <w:p w14:paraId="7BF4A429" w14:textId="77777777" w:rsidR="00500F71" w:rsidRDefault="00ED670E" w:rsidP="00DD046F">
      <w:pPr>
        <w:spacing w:after="0"/>
        <w:rPr>
          <w:rFonts w:ascii="Arial" w:hAnsi="Arial" w:cs="Arial"/>
          <w:lang w:val="es-ES"/>
        </w:rPr>
      </w:pPr>
      <w:r w:rsidRPr="00ED670E">
        <w:rPr>
          <w:rFonts w:ascii="Arial" w:hAnsi="Arial" w:cs="Arial"/>
          <w:lang w:val="es-ES"/>
        </w:rPr>
        <w:t xml:space="preserve">González-Cardona, C. G., &amp; González-Martínez, L. B. (2025). La gamificación como </w:t>
      </w:r>
    </w:p>
    <w:p w14:paraId="5AE7A2D4" w14:textId="5852CFA4" w:rsidR="00ED670E" w:rsidRPr="00ED670E" w:rsidRDefault="00ED670E" w:rsidP="00DD046F">
      <w:pPr>
        <w:spacing w:after="0"/>
        <w:ind w:left="720"/>
        <w:rPr>
          <w:rFonts w:ascii="Arial" w:hAnsi="Arial" w:cs="Arial"/>
          <w:lang w:val="es-ES"/>
        </w:rPr>
      </w:pPr>
      <w:r w:rsidRPr="00ED670E">
        <w:rPr>
          <w:rFonts w:ascii="Arial" w:hAnsi="Arial" w:cs="Arial"/>
          <w:lang w:val="es-ES"/>
        </w:rPr>
        <w:t>estrategia para desarrollar competencias digitales en educación superior. </w:t>
      </w:r>
      <w:r w:rsidRPr="00ED670E">
        <w:rPr>
          <w:rFonts w:ascii="Arial" w:hAnsi="Arial" w:cs="Arial"/>
          <w:i/>
          <w:iCs/>
          <w:lang w:val="es-ES"/>
        </w:rPr>
        <w:t>Revista Paraguaya de Educación a Distancia (REPED)</w:t>
      </w:r>
      <w:r w:rsidRPr="00ED670E">
        <w:rPr>
          <w:rFonts w:ascii="Arial" w:hAnsi="Arial" w:cs="Arial"/>
          <w:lang w:val="es-ES"/>
        </w:rPr>
        <w:t>, </w:t>
      </w:r>
      <w:r w:rsidRPr="00ED670E">
        <w:rPr>
          <w:rFonts w:ascii="Arial" w:hAnsi="Arial" w:cs="Arial"/>
          <w:i/>
          <w:iCs/>
          <w:lang w:val="es-ES"/>
        </w:rPr>
        <w:t>6</w:t>
      </w:r>
      <w:r w:rsidRPr="00ED670E">
        <w:rPr>
          <w:rFonts w:ascii="Arial" w:hAnsi="Arial" w:cs="Arial"/>
          <w:lang w:val="es-ES"/>
        </w:rPr>
        <w:t>(1), 50–65. https://doi.org/10.56152/reped2025-vol6num1-art5</w:t>
      </w:r>
    </w:p>
    <w:p w14:paraId="55E3435F" w14:textId="77777777" w:rsidR="00500F71" w:rsidRDefault="00ED670E" w:rsidP="00DD046F">
      <w:pPr>
        <w:spacing w:after="0"/>
        <w:rPr>
          <w:rFonts w:ascii="Arial" w:hAnsi="Arial" w:cs="Arial"/>
          <w:lang w:val="es-ES"/>
        </w:rPr>
      </w:pPr>
      <w:r w:rsidRPr="00ED670E">
        <w:rPr>
          <w:rFonts w:ascii="Arial" w:hAnsi="Arial" w:cs="Arial"/>
          <w:lang w:val="es-ES"/>
        </w:rPr>
        <w:t xml:space="preserve">Jaramillo-Mediavilla, Lorena, Basantes-Andrade, Andrea, Casillas-Martín, Sonia, &amp; </w:t>
      </w:r>
    </w:p>
    <w:p w14:paraId="5E7F6AFE" w14:textId="40609FE7" w:rsidR="00ED670E" w:rsidRPr="00ED670E" w:rsidRDefault="00ED670E" w:rsidP="00DD046F">
      <w:pPr>
        <w:spacing w:after="0"/>
        <w:ind w:left="720"/>
        <w:rPr>
          <w:rFonts w:ascii="Arial" w:hAnsi="Arial" w:cs="Arial"/>
          <w:lang w:val="es-ES"/>
        </w:rPr>
      </w:pPr>
      <w:r w:rsidRPr="00ED670E">
        <w:rPr>
          <w:rFonts w:ascii="Arial" w:hAnsi="Arial" w:cs="Arial"/>
          <w:lang w:val="es-ES"/>
        </w:rPr>
        <w:t>Cabezas-González, Marcos. (2025). Impacto de la gamificación en el rendimiento académico en la Universidad Técnica del Norte (Ecuador). </w:t>
      </w:r>
      <w:r w:rsidRPr="00ED670E">
        <w:rPr>
          <w:rFonts w:ascii="Arial" w:hAnsi="Arial" w:cs="Arial"/>
          <w:i/>
          <w:iCs/>
          <w:lang w:val="es-ES"/>
        </w:rPr>
        <w:t>Formación universitaria</w:t>
      </w:r>
      <w:r w:rsidRPr="00ED670E">
        <w:rPr>
          <w:rFonts w:ascii="Arial" w:hAnsi="Arial" w:cs="Arial"/>
          <w:lang w:val="es-ES"/>
        </w:rPr>
        <w:t>, </w:t>
      </w:r>
      <w:r w:rsidRPr="00ED670E">
        <w:rPr>
          <w:rFonts w:ascii="Arial" w:hAnsi="Arial" w:cs="Arial"/>
          <w:i/>
          <w:iCs/>
          <w:lang w:val="es-ES"/>
        </w:rPr>
        <w:t>18</w:t>
      </w:r>
      <w:r w:rsidRPr="00ED670E">
        <w:rPr>
          <w:rFonts w:ascii="Arial" w:hAnsi="Arial" w:cs="Arial"/>
          <w:lang w:val="es-ES"/>
        </w:rPr>
        <w:t>(3), 35-46. </w:t>
      </w:r>
      <w:hyperlink r:id="rId20" w:history="1">
        <w:r w:rsidRPr="00ED670E">
          <w:rPr>
            <w:rStyle w:val="Hyperlink"/>
            <w:rFonts w:ascii="Arial" w:hAnsi="Arial" w:cs="Arial"/>
            <w:lang w:val="es-ES"/>
          </w:rPr>
          <w:t>https://dx.doi.org/10.4067/s0718-50062025000300035</w:t>
        </w:r>
      </w:hyperlink>
    </w:p>
    <w:p w14:paraId="31FE7A9F" w14:textId="77777777" w:rsidR="00500F71" w:rsidRDefault="00ED670E" w:rsidP="00DD046F">
      <w:pPr>
        <w:spacing w:after="0"/>
        <w:rPr>
          <w:rFonts w:ascii="Arial" w:hAnsi="Arial" w:cs="Arial"/>
          <w:lang w:val="es-ES"/>
        </w:rPr>
      </w:pPr>
      <w:proofErr w:type="spellStart"/>
      <w:r w:rsidRPr="00ED670E">
        <w:rPr>
          <w:rFonts w:ascii="Arial" w:hAnsi="Arial" w:cs="Arial"/>
          <w:lang w:val="es-ES"/>
        </w:rPr>
        <w:t>Lincango</w:t>
      </w:r>
      <w:proofErr w:type="spellEnd"/>
      <w:r w:rsidRPr="00ED670E">
        <w:rPr>
          <w:rFonts w:ascii="Arial" w:hAnsi="Arial" w:cs="Arial"/>
          <w:lang w:val="es-ES"/>
        </w:rPr>
        <w:t xml:space="preserve"> </w:t>
      </w:r>
      <w:proofErr w:type="spellStart"/>
      <w:r w:rsidRPr="00ED670E">
        <w:rPr>
          <w:rFonts w:ascii="Arial" w:hAnsi="Arial" w:cs="Arial"/>
          <w:lang w:val="es-ES"/>
        </w:rPr>
        <w:t>Paucar</w:t>
      </w:r>
      <w:proofErr w:type="spellEnd"/>
      <w:r w:rsidRPr="00ED670E">
        <w:rPr>
          <w:rFonts w:ascii="Arial" w:hAnsi="Arial" w:cs="Arial"/>
          <w:lang w:val="es-ES"/>
        </w:rPr>
        <w:t xml:space="preserve">, E. J., Rodríguez Estrella, D. A., &amp; Gavilanes Guzmán, G. I. (2025). </w:t>
      </w:r>
    </w:p>
    <w:p w14:paraId="5938690A" w14:textId="0A9C8748" w:rsidR="00ED670E" w:rsidRPr="00ED670E" w:rsidRDefault="00ED670E" w:rsidP="00DD046F">
      <w:pPr>
        <w:spacing w:after="0"/>
        <w:ind w:left="720"/>
        <w:rPr>
          <w:rFonts w:ascii="Arial" w:hAnsi="Arial" w:cs="Arial"/>
          <w:lang w:val="es-ES"/>
        </w:rPr>
      </w:pPr>
      <w:r w:rsidRPr="00ED670E">
        <w:rPr>
          <w:rFonts w:ascii="Arial" w:hAnsi="Arial" w:cs="Arial"/>
          <w:lang w:val="es-ES"/>
        </w:rPr>
        <w:t>Integración de tecnologías de inteligencia artificial en la educación para optimizar el aprendizaje personalizado. </w:t>
      </w:r>
      <w:proofErr w:type="spellStart"/>
      <w:r w:rsidRPr="00ED670E">
        <w:rPr>
          <w:rFonts w:ascii="Arial" w:hAnsi="Arial" w:cs="Arial"/>
          <w:i/>
          <w:iCs/>
          <w:lang w:val="es-ES"/>
        </w:rPr>
        <w:t>Imperium</w:t>
      </w:r>
      <w:proofErr w:type="spellEnd"/>
      <w:r w:rsidRPr="00ED670E">
        <w:rPr>
          <w:rFonts w:ascii="Arial" w:hAnsi="Arial" w:cs="Arial"/>
          <w:i/>
          <w:iCs/>
          <w:lang w:val="es-ES"/>
        </w:rPr>
        <w:t xml:space="preserve"> </w:t>
      </w:r>
      <w:proofErr w:type="spellStart"/>
      <w:r w:rsidRPr="00ED670E">
        <w:rPr>
          <w:rFonts w:ascii="Arial" w:hAnsi="Arial" w:cs="Arial"/>
          <w:i/>
          <w:iCs/>
          <w:lang w:val="es-ES"/>
        </w:rPr>
        <w:t>Académico</w:t>
      </w:r>
      <w:proofErr w:type="spellEnd"/>
      <w:r w:rsidRPr="00ED670E">
        <w:rPr>
          <w:rFonts w:ascii="Arial" w:hAnsi="Arial" w:cs="Arial"/>
          <w:i/>
          <w:iCs/>
          <w:lang w:val="es-ES"/>
        </w:rPr>
        <w:t xml:space="preserve"> </w:t>
      </w:r>
      <w:proofErr w:type="spellStart"/>
      <w:r w:rsidRPr="00ED670E">
        <w:rPr>
          <w:rFonts w:ascii="Arial" w:hAnsi="Arial" w:cs="Arial"/>
          <w:i/>
          <w:iCs/>
          <w:lang w:val="es-ES"/>
        </w:rPr>
        <w:t>Multidisciplinary</w:t>
      </w:r>
      <w:proofErr w:type="spellEnd"/>
      <w:r w:rsidRPr="00ED670E">
        <w:rPr>
          <w:rFonts w:ascii="Arial" w:hAnsi="Arial" w:cs="Arial"/>
          <w:i/>
          <w:iCs/>
          <w:lang w:val="es-ES"/>
        </w:rPr>
        <w:t xml:space="preserve"> </w:t>
      </w:r>
      <w:proofErr w:type="spellStart"/>
      <w:r w:rsidRPr="00ED670E">
        <w:rPr>
          <w:rFonts w:ascii="Arial" w:hAnsi="Arial" w:cs="Arial"/>
          <w:i/>
          <w:iCs/>
          <w:lang w:val="es-ES"/>
        </w:rPr>
        <w:t>Journal</w:t>
      </w:r>
      <w:proofErr w:type="spellEnd"/>
      <w:r w:rsidRPr="00ED670E">
        <w:rPr>
          <w:rFonts w:ascii="Arial" w:hAnsi="Arial" w:cs="Arial"/>
          <w:lang w:val="es-ES"/>
        </w:rPr>
        <w:t>, </w:t>
      </w:r>
      <w:r w:rsidRPr="00ED670E">
        <w:rPr>
          <w:rFonts w:ascii="Arial" w:hAnsi="Arial" w:cs="Arial"/>
          <w:i/>
          <w:iCs/>
          <w:lang w:val="es-ES"/>
        </w:rPr>
        <w:t>2</w:t>
      </w:r>
      <w:r w:rsidRPr="00ED670E">
        <w:rPr>
          <w:rFonts w:ascii="Arial" w:hAnsi="Arial" w:cs="Arial"/>
          <w:lang w:val="es-ES"/>
        </w:rPr>
        <w:t>(3), 1-11. </w:t>
      </w:r>
      <w:hyperlink r:id="rId21" w:history="1">
        <w:r w:rsidRPr="00ED670E">
          <w:rPr>
            <w:rStyle w:val="Hyperlink"/>
            <w:rFonts w:ascii="Arial" w:hAnsi="Arial" w:cs="Arial"/>
            <w:lang w:val="es-ES"/>
          </w:rPr>
          <w:t>https://doi.org/10.63969/n5vfnb23</w:t>
        </w:r>
      </w:hyperlink>
      <w:r w:rsidRPr="00ED670E">
        <w:rPr>
          <w:rFonts w:ascii="Arial" w:hAnsi="Arial" w:cs="Arial"/>
          <w:lang w:val="es-ES"/>
        </w:rPr>
        <w:t xml:space="preserve"> </w:t>
      </w:r>
    </w:p>
    <w:p w14:paraId="0EFC1485" w14:textId="77777777" w:rsidR="00500F71" w:rsidRDefault="00ED670E" w:rsidP="00DD046F">
      <w:pPr>
        <w:spacing w:after="0"/>
        <w:rPr>
          <w:rFonts w:ascii="Arial" w:hAnsi="Arial" w:cs="Arial"/>
          <w:lang w:val="es-PY"/>
        </w:rPr>
      </w:pPr>
      <w:r w:rsidRPr="00ED670E">
        <w:rPr>
          <w:rFonts w:ascii="Arial" w:hAnsi="Arial" w:cs="Arial"/>
          <w:lang w:val="es-PY"/>
        </w:rPr>
        <w:t xml:space="preserve">Montoya Naguas, T. M., Fierro Ríos, M. C., Ayala Arias, M. C., Lema </w:t>
      </w:r>
      <w:proofErr w:type="spellStart"/>
      <w:r w:rsidRPr="00ED670E">
        <w:rPr>
          <w:rFonts w:ascii="Arial" w:hAnsi="Arial" w:cs="Arial"/>
          <w:lang w:val="es-PY"/>
        </w:rPr>
        <w:t>Cordonez</w:t>
      </w:r>
      <w:proofErr w:type="spellEnd"/>
      <w:r w:rsidRPr="00ED670E">
        <w:rPr>
          <w:rFonts w:ascii="Arial" w:hAnsi="Arial" w:cs="Arial"/>
          <w:lang w:val="es-PY"/>
        </w:rPr>
        <w:t xml:space="preserve">, P. C., &amp; </w:t>
      </w:r>
    </w:p>
    <w:p w14:paraId="64228B82" w14:textId="0AB2F8B6" w:rsidR="00ED670E" w:rsidRPr="00ED670E" w:rsidRDefault="00ED670E" w:rsidP="00DD046F">
      <w:pPr>
        <w:spacing w:after="0"/>
        <w:ind w:left="720"/>
        <w:rPr>
          <w:rFonts w:ascii="Arial" w:hAnsi="Arial" w:cs="Arial"/>
          <w:lang w:val="es-PY"/>
        </w:rPr>
      </w:pPr>
      <w:proofErr w:type="spellStart"/>
      <w:r w:rsidRPr="00ED670E">
        <w:rPr>
          <w:rFonts w:ascii="Arial" w:hAnsi="Arial" w:cs="Arial"/>
          <w:lang w:val="es-PY"/>
        </w:rPr>
        <w:t>Pillapaxi</w:t>
      </w:r>
      <w:proofErr w:type="spellEnd"/>
      <w:r w:rsidRPr="00ED670E">
        <w:rPr>
          <w:rFonts w:ascii="Arial" w:hAnsi="Arial" w:cs="Arial"/>
          <w:lang w:val="es-PY"/>
        </w:rPr>
        <w:t xml:space="preserve"> </w:t>
      </w:r>
      <w:proofErr w:type="spellStart"/>
      <w:r w:rsidRPr="00ED670E">
        <w:rPr>
          <w:rFonts w:ascii="Arial" w:hAnsi="Arial" w:cs="Arial"/>
          <w:lang w:val="es-PY"/>
        </w:rPr>
        <w:t>Taipe</w:t>
      </w:r>
      <w:proofErr w:type="spellEnd"/>
      <w:r w:rsidRPr="00ED670E">
        <w:rPr>
          <w:rFonts w:ascii="Arial" w:hAnsi="Arial" w:cs="Arial"/>
          <w:lang w:val="es-PY"/>
        </w:rPr>
        <w:t xml:space="preserve">, M. P. (2024). El Diseño Universal de Aprendizaje (DUA), Un Modelo para la Inclusión Educativa. </w:t>
      </w:r>
      <w:r w:rsidRPr="00500F71">
        <w:rPr>
          <w:rFonts w:ascii="Arial" w:hAnsi="Arial" w:cs="Arial"/>
          <w:i/>
          <w:iCs/>
          <w:lang w:val="es-PY"/>
        </w:rPr>
        <w:t>Ciencia Latina Revista Científica Multidisciplinar</w:t>
      </w:r>
      <w:r w:rsidRPr="00ED670E">
        <w:rPr>
          <w:rFonts w:ascii="Arial" w:hAnsi="Arial" w:cs="Arial"/>
          <w:lang w:val="es-PY"/>
        </w:rPr>
        <w:t xml:space="preserve">, 8(4), 10904-10918. </w:t>
      </w:r>
      <w:hyperlink r:id="rId22" w:history="1">
        <w:r w:rsidRPr="00ED670E">
          <w:rPr>
            <w:rStyle w:val="Hyperlink"/>
            <w:rFonts w:ascii="Arial" w:hAnsi="Arial" w:cs="Arial"/>
            <w:lang w:val="es-PY"/>
          </w:rPr>
          <w:t>https://doi.org/10.37811/cl_rcm.v8i4.13231</w:t>
        </w:r>
      </w:hyperlink>
      <w:r w:rsidRPr="00ED670E">
        <w:rPr>
          <w:rFonts w:ascii="Arial" w:hAnsi="Arial" w:cs="Arial"/>
          <w:lang w:val="es-PY"/>
        </w:rPr>
        <w:t xml:space="preserve"> </w:t>
      </w:r>
    </w:p>
    <w:p w14:paraId="17DDB6F5" w14:textId="77777777" w:rsidR="00500F71" w:rsidRDefault="00ED670E" w:rsidP="00DD046F">
      <w:pPr>
        <w:spacing w:after="0"/>
        <w:rPr>
          <w:rFonts w:ascii="Arial" w:hAnsi="Arial" w:cs="Arial"/>
          <w:lang w:val="es-ES"/>
        </w:rPr>
      </w:pPr>
      <w:r w:rsidRPr="00ED670E">
        <w:rPr>
          <w:rFonts w:ascii="Arial" w:hAnsi="Arial" w:cs="Arial"/>
          <w:lang w:val="es-ES"/>
        </w:rPr>
        <w:t xml:space="preserve">Nivela-Cornejo, M. A., Otero- Agreda, O. E., &amp; Morales-Caguana, E. F. (2021). </w:t>
      </w:r>
    </w:p>
    <w:p w14:paraId="1C4EE321" w14:textId="5C2061C9"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Gamificación en la educación superior. </w:t>
      </w:r>
      <w:r w:rsidRPr="00500F71">
        <w:rPr>
          <w:rFonts w:ascii="Arial" w:hAnsi="Arial" w:cs="Arial"/>
          <w:i/>
          <w:iCs/>
          <w:lang w:val="es-ES"/>
        </w:rPr>
        <w:t>Revista Publicando</w:t>
      </w:r>
      <w:r w:rsidRPr="00ED670E">
        <w:rPr>
          <w:rFonts w:ascii="Arial" w:hAnsi="Arial" w:cs="Arial"/>
          <w:lang w:val="es-ES"/>
        </w:rPr>
        <w:t xml:space="preserve">, 8(31), 165-176. </w:t>
      </w:r>
      <w:hyperlink r:id="rId23" w:history="1">
        <w:r w:rsidR="00500F71" w:rsidRPr="00F47AEB">
          <w:rPr>
            <w:rStyle w:val="Hyperlink"/>
            <w:rFonts w:ascii="Arial" w:hAnsi="Arial" w:cs="Arial"/>
            <w:lang w:val="es-ES"/>
          </w:rPr>
          <w:t>https://doi.org/10.51528/rp.vol8.id2242</w:t>
        </w:r>
      </w:hyperlink>
      <w:r w:rsidRPr="00ED670E">
        <w:rPr>
          <w:rFonts w:ascii="Arial" w:hAnsi="Arial" w:cs="Arial"/>
          <w:lang w:val="es-ES"/>
        </w:rPr>
        <w:t xml:space="preserve">  </w:t>
      </w:r>
    </w:p>
    <w:p w14:paraId="320DEA5D" w14:textId="77777777" w:rsidR="00500F71" w:rsidRDefault="00ED670E" w:rsidP="00DD046F">
      <w:pPr>
        <w:spacing w:after="0"/>
        <w:rPr>
          <w:rFonts w:ascii="Arial" w:hAnsi="Arial" w:cs="Arial"/>
          <w:lang w:val="es-ES"/>
        </w:rPr>
      </w:pPr>
      <w:r w:rsidRPr="00ED670E">
        <w:rPr>
          <w:rFonts w:ascii="Arial" w:hAnsi="Arial" w:cs="Arial"/>
          <w:lang w:val="es-ES"/>
        </w:rPr>
        <w:t xml:space="preserve">Ojeda-Lara, Oscar Gilberto, &amp; Zaldívar-Acosta, Marisa del Socorro. (2023). Gamificación </w:t>
      </w:r>
    </w:p>
    <w:p w14:paraId="196C27DB" w14:textId="62CEC950"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como Metodología Innovadora para Estudiantes de Educación </w:t>
      </w:r>
      <w:proofErr w:type="gramStart"/>
      <w:r w:rsidRPr="00ED670E">
        <w:rPr>
          <w:rFonts w:ascii="Arial" w:hAnsi="Arial" w:cs="Arial"/>
          <w:lang w:val="es-ES"/>
        </w:rPr>
        <w:t>Superior..</w:t>
      </w:r>
      <w:proofErr w:type="gramEnd"/>
      <w:r w:rsidRPr="00ED670E">
        <w:rPr>
          <w:rFonts w:ascii="Arial" w:hAnsi="Arial" w:cs="Arial"/>
          <w:lang w:val="es-ES"/>
        </w:rPr>
        <w:t> </w:t>
      </w:r>
      <w:r w:rsidRPr="00ED670E">
        <w:rPr>
          <w:rFonts w:ascii="Arial" w:hAnsi="Arial" w:cs="Arial"/>
          <w:i/>
          <w:iCs/>
          <w:lang w:val="es-ES"/>
        </w:rPr>
        <w:t>Revista Tecnológica-Educativa Docentes 2.0</w:t>
      </w:r>
      <w:r w:rsidRPr="00ED670E">
        <w:rPr>
          <w:rFonts w:ascii="Arial" w:hAnsi="Arial" w:cs="Arial"/>
          <w:lang w:val="es-ES"/>
        </w:rPr>
        <w:t>, </w:t>
      </w:r>
      <w:r w:rsidRPr="00ED670E">
        <w:rPr>
          <w:rFonts w:ascii="Arial" w:hAnsi="Arial" w:cs="Arial"/>
          <w:i/>
          <w:iCs/>
          <w:lang w:val="es-ES"/>
        </w:rPr>
        <w:t>16</w:t>
      </w:r>
      <w:r w:rsidRPr="00ED670E">
        <w:rPr>
          <w:rFonts w:ascii="Arial" w:hAnsi="Arial" w:cs="Arial"/>
          <w:lang w:val="es-ES"/>
        </w:rPr>
        <w:t xml:space="preserve">(1), 5-11. </w:t>
      </w:r>
      <w:hyperlink r:id="rId24" w:history="1">
        <w:r w:rsidRPr="00ED670E">
          <w:rPr>
            <w:rStyle w:val="Hyperlink"/>
            <w:rFonts w:ascii="Arial" w:hAnsi="Arial" w:cs="Arial"/>
            <w:lang w:val="es-ES"/>
          </w:rPr>
          <w:t>https://doi.org/10.37843/rted.v16i1.332</w:t>
        </w:r>
      </w:hyperlink>
    </w:p>
    <w:p w14:paraId="157E9525" w14:textId="77777777" w:rsidR="00500F71" w:rsidRDefault="00ED670E" w:rsidP="00DD046F">
      <w:pPr>
        <w:spacing w:after="0"/>
        <w:rPr>
          <w:rFonts w:ascii="Arial" w:hAnsi="Arial" w:cs="Arial"/>
          <w:lang w:val="es-ES"/>
        </w:rPr>
      </w:pPr>
      <w:r w:rsidRPr="00ED670E">
        <w:rPr>
          <w:rFonts w:ascii="Arial" w:hAnsi="Arial" w:cs="Arial"/>
          <w:lang w:val="es-ES"/>
        </w:rPr>
        <w:t xml:space="preserve">Pascuas-Rengifo, Y. S., García-Quintero, J. A., &amp; Mercado-Varela, M. A. (2020). </w:t>
      </w:r>
    </w:p>
    <w:p w14:paraId="6541BF3E" w14:textId="5AE4C5A1"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Dispositivos móviles en la educación: tendencias e impacto para la innovación. </w:t>
      </w:r>
      <w:r w:rsidRPr="00500F71">
        <w:rPr>
          <w:rFonts w:ascii="Arial" w:hAnsi="Arial" w:cs="Arial"/>
          <w:i/>
          <w:iCs/>
          <w:lang w:val="es-ES"/>
        </w:rPr>
        <w:t>Revista Politécnica</w:t>
      </w:r>
      <w:r w:rsidRPr="00ED670E">
        <w:rPr>
          <w:rFonts w:ascii="Arial" w:hAnsi="Arial" w:cs="Arial"/>
          <w:lang w:val="es-ES"/>
        </w:rPr>
        <w:t xml:space="preserve">, 16(31), 97–109. </w:t>
      </w:r>
      <w:hyperlink r:id="rId25" w:history="1">
        <w:r w:rsidRPr="00ED670E">
          <w:rPr>
            <w:rStyle w:val="Hyperlink"/>
            <w:rFonts w:ascii="Arial" w:hAnsi="Arial" w:cs="Arial"/>
            <w:lang w:val="es-ES"/>
          </w:rPr>
          <w:t>https://doi.org/10.33571/rpolitec.v16n31a8</w:t>
        </w:r>
      </w:hyperlink>
    </w:p>
    <w:p w14:paraId="28C12581" w14:textId="77777777" w:rsidR="00500F71" w:rsidRDefault="00ED670E" w:rsidP="00DD046F">
      <w:pPr>
        <w:spacing w:after="0"/>
        <w:rPr>
          <w:rFonts w:ascii="Arial" w:hAnsi="Arial" w:cs="Arial"/>
          <w:lang w:val="es-ES"/>
        </w:rPr>
      </w:pPr>
      <w:r w:rsidRPr="00ED670E">
        <w:rPr>
          <w:rFonts w:ascii="Arial" w:hAnsi="Arial" w:cs="Arial"/>
          <w:lang w:val="es-ES"/>
        </w:rPr>
        <w:t xml:space="preserve">Pazos-Yerovi, Elena Isabel, &amp; Aguilar-Gordón, Floralba del Rocío. (2024). El </w:t>
      </w:r>
    </w:p>
    <w:p w14:paraId="2652A0B1" w14:textId="342C763F"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Aprendizaje Basado en Problemas como estrategia metodológica para el desarrollo del Pensamiento Crítico. </w:t>
      </w:r>
      <w:r w:rsidRPr="00500F71">
        <w:rPr>
          <w:rFonts w:ascii="Arial" w:hAnsi="Arial" w:cs="Arial"/>
          <w:i/>
          <w:iCs/>
          <w:lang w:val="es-ES"/>
        </w:rPr>
        <w:t>Revista de estudios y experiencias en educación</w:t>
      </w:r>
      <w:r w:rsidRPr="00ED670E">
        <w:rPr>
          <w:rFonts w:ascii="Arial" w:hAnsi="Arial" w:cs="Arial"/>
          <w:lang w:val="es-ES"/>
        </w:rPr>
        <w:t xml:space="preserve">, 23(53), 313-340. </w:t>
      </w:r>
      <w:hyperlink r:id="rId26" w:history="1">
        <w:r w:rsidRPr="00ED670E">
          <w:rPr>
            <w:rStyle w:val="Hyperlink"/>
            <w:rFonts w:ascii="Arial" w:hAnsi="Arial" w:cs="Arial"/>
            <w:lang w:val="es-ES"/>
          </w:rPr>
          <w:t>https://dx.doi.org/10.21703/rexe.v23i53.2658</w:t>
        </w:r>
      </w:hyperlink>
    </w:p>
    <w:p w14:paraId="6F810F9D" w14:textId="77777777" w:rsidR="00500F71" w:rsidRDefault="00ED670E" w:rsidP="00DD046F">
      <w:pPr>
        <w:spacing w:after="0"/>
        <w:rPr>
          <w:rFonts w:ascii="Arial" w:hAnsi="Arial" w:cs="Arial"/>
          <w:lang w:val="es-ES"/>
        </w:rPr>
      </w:pPr>
      <w:r w:rsidRPr="00ED670E">
        <w:rPr>
          <w:rFonts w:ascii="Arial" w:hAnsi="Arial" w:cs="Arial"/>
          <w:lang w:val="es-ES"/>
        </w:rPr>
        <w:t xml:space="preserve">Pérez Valles, C. y Reeves Huapaya, E. (2023). </w:t>
      </w:r>
      <w:proofErr w:type="spellStart"/>
      <w:r w:rsidRPr="00ED670E">
        <w:rPr>
          <w:rFonts w:ascii="Arial" w:hAnsi="Arial" w:cs="Arial"/>
          <w:lang w:val="es-ES"/>
        </w:rPr>
        <w:t>ducación</w:t>
      </w:r>
      <w:proofErr w:type="spellEnd"/>
      <w:r w:rsidRPr="00ED670E">
        <w:rPr>
          <w:rFonts w:ascii="Arial" w:hAnsi="Arial" w:cs="Arial"/>
          <w:lang w:val="es-ES"/>
        </w:rPr>
        <w:t xml:space="preserve"> inclusiva digital: Una revisión </w:t>
      </w:r>
    </w:p>
    <w:p w14:paraId="4AEB60BF" w14:textId="14C89ECE" w:rsidR="00ED670E" w:rsidRPr="00ED670E" w:rsidRDefault="00ED670E" w:rsidP="00DD046F">
      <w:pPr>
        <w:spacing w:after="0"/>
        <w:ind w:left="720"/>
        <w:rPr>
          <w:rFonts w:ascii="Arial" w:hAnsi="Arial" w:cs="Arial"/>
        </w:rPr>
      </w:pPr>
      <w:r w:rsidRPr="00ED670E">
        <w:rPr>
          <w:rFonts w:ascii="Arial" w:hAnsi="Arial" w:cs="Arial"/>
          <w:lang w:val="es-ES"/>
        </w:rPr>
        <w:t xml:space="preserve">bibliográfica actualizada. Las brechas digitales en la educación inclusiva. </w:t>
      </w:r>
      <w:r w:rsidRPr="00500F71">
        <w:rPr>
          <w:rFonts w:ascii="Arial" w:hAnsi="Arial" w:cs="Arial"/>
          <w:i/>
          <w:iCs/>
          <w:lang w:val="es-ES"/>
        </w:rPr>
        <w:t>Revista Electrónica Actualidades Investigativas en Educación</w:t>
      </w:r>
      <w:r w:rsidRPr="00ED670E">
        <w:rPr>
          <w:rFonts w:ascii="Arial" w:hAnsi="Arial" w:cs="Arial"/>
          <w:lang w:val="es-ES"/>
        </w:rPr>
        <w:t xml:space="preserve">, 23 (3), 1-24. </w:t>
      </w:r>
      <w:hyperlink r:id="rId27" w:history="1">
        <w:r w:rsidRPr="00ED670E">
          <w:rPr>
            <w:rStyle w:val="Hyperlink"/>
            <w:rFonts w:ascii="Arial" w:hAnsi="Arial" w:cs="Arial"/>
          </w:rPr>
          <w:t>https://www.redalyc.org/journal/447/44775742004/html/</w:t>
        </w:r>
      </w:hyperlink>
    </w:p>
    <w:p w14:paraId="64A537C1" w14:textId="77777777" w:rsidR="00500F71" w:rsidRDefault="00ED670E" w:rsidP="00DD046F">
      <w:pPr>
        <w:spacing w:after="0"/>
        <w:rPr>
          <w:rFonts w:ascii="Arial" w:hAnsi="Arial" w:cs="Arial"/>
          <w:lang w:val="es-ES"/>
        </w:rPr>
      </w:pPr>
      <w:r w:rsidRPr="00ED670E">
        <w:rPr>
          <w:rFonts w:ascii="Arial" w:hAnsi="Arial" w:cs="Arial"/>
        </w:rPr>
        <w:t xml:space="preserve">Puyol-Cortez, J. L. (2023). </w:t>
      </w:r>
      <w:r w:rsidRPr="00ED670E">
        <w:rPr>
          <w:rFonts w:ascii="Arial" w:hAnsi="Arial" w:cs="Arial"/>
          <w:lang w:val="es-ES"/>
        </w:rPr>
        <w:t xml:space="preserve">Tecnologías emergentes en la educación del siglo XXI. </w:t>
      </w:r>
    </w:p>
    <w:p w14:paraId="42EB4CF0" w14:textId="3C667B27" w:rsidR="00ED670E" w:rsidRPr="00657670" w:rsidRDefault="00ED670E" w:rsidP="00DD046F">
      <w:pPr>
        <w:spacing w:after="0"/>
        <w:ind w:left="720"/>
        <w:rPr>
          <w:rFonts w:ascii="Arial" w:hAnsi="Arial" w:cs="Arial"/>
          <w:lang w:val="en-US"/>
        </w:rPr>
      </w:pPr>
      <w:r w:rsidRPr="00657670">
        <w:rPr>
          <w:rFonts w:ascii="Arial" w:hAnsi="Arial" w:cs="Arial"/>
          <w:i/>
          <w:iCs/>
          <w:lang w:val="en-US"/>
        </w:rPr>
        <w:t>Multidisciplinary Collaborative Journal</w:t>
      </w:r>
      <w:r w:rsidRPr="00657670">
        <w:rPr>
          <w:rFonts w:ascii="Arial" w:hAnsi="Arial" w:cs="Arial"/>
          <w:lang w:val="en-US"/>
        </w:rPr>
        <w:t xml:space="preserve">, 1(4), 40-55. </w:t>
      </w:r>
      <w:hyperlink r:id="rId28" w:history="1">
        <w:r w:rsidR="00500F71" w:rsidRPr="00657670">
          <w:rPr>
            <w:rStyle w:val="Hyperlink"/>
            <w:rFonts w:ascii="Arial" w:hAnsi="Arial" w:cs="Arial"/>
            <w:lang w:val="en-US"/>
          </w:rPr>
          <w:t>https://doi.org/10.70881/mcj/v1/n4/25</w:t>
        </w:r>
      </w:hyperlink>
      <w:r w:rsidRPr="00657670">
        <w:rPr>
          <w:rFonts w:ascii="Arial" w:hAnsi="Arial" w:cs="Arial"/>
          <w:lang w:val="en-US"/>
        </w:rPr>
        <w:t xml:space="preserve"> </w:t>
      </w:r>
    </w:p>
    <w:p w14:paraId="44018EBB" w14:textId="77777777" w:rsidR="00500F71" w:rsidRDefault="00ED670E" w:rsidP="00DD046F">
      <w:pPr>
        <w:spacing w:after="0"/>
        <w:rPr>
          <w:rFonts w:ascii="Arial" w:hAnsi="Arial" w:cs="Arial"/>
          <w:lang w:val="es-ES"/>
        </w:rPr>
      </w:pPr>
      <w:r w:rsidRPr="00ED670E">
        <w:rPr>
          <w:rFonts w:ascii="Arial" w:hAnsi="Arial" w:cs="Arial"/>
          <w:lang w:val="es-ES"/>
        </w:rPr>
        <w:t xml:space="preserve">Rodríguez Valladares, L. R. (2024). Implementación de Entornos Virtuales de </w:t>
      </w:r>
    </w:p>
    <w:p w14:paraId="57F36CF3" w14:textId="5EFDA721" w:rsidR="00ED670E" w:rsidRPr="00ED670E" w:rsidRDefault="00ED670E" w:rsidP="00DD046F">
      <w:pPr>
        <w:spacing w:after="0"/>
        <w:ind w:left="720"/>
        <w:rPr>
          <w:rFonts w:ascii="Arial" w:hAnsi="Arial" w:cs="Arial"/>
          <w:lang w:val="es-ES"/>
        </w:rPr>
      </w:pPr>
      <w:r w:rsidRPr="00ED670E">
        <w:rPr>
          <w:rFonts w:ascii="Arial" w:hAnsi="Arial" w:cs="Arial"/>
          <w:lang w:val="es-ES"/>
        </w:rPr>
        <w:lastRenderedPageBreak/>
        <w:t xml:space="preserve">Aprendizaje…Un modelo generado desde y para la práctica. </w:t>
      </w:r>
      <w:r w:rsidRPr="00500F71">
        <w:rPr>
          <w:rFonts w:ascii="Arial" w:hAnsi="Arial" w:cs="Arial"/>
          <w:i/>
          <w:iCs/>
          <w:lang w:val="es-ES"/>
        </w:rPr>
        <w:t>Revista Gestión y Gerencia</w:t>
      </w:r>
      <w:r w:rsidR="00500F71">
        <w:rPr>
          <w:rFonts w:ascii="Arial" w:hAnsi="Arial" w:cs="Arial"/>
          <w:lang w:val="es-ES"/>
        </w:rPr>
        <w:t xml:space="preserve">, </w:t>
      </w:r>
      <w:r w:rsidRPr="00ED670E">
        <w:rPr>
          <w:rFonts w:ascii="Arial" w:hAnsi="Arial" w:cs="Arial"/>
          <w:lang w:val="es-ES"/>
        </w:rPr>
        <w:t>18 (2). 46-71. https://revistas.uclave.org/index.php/gyg</w:t>
      </w:r>
    </w:p>
    <w:p w14:paraId="4BDE1E6C" w14:textId="77777777" w:rsidR="00500F71" w:rsidRDefault="00ED670E" w:rsidP="00DD046F">
      <w:pPr>
        <w:spacing w:after="0"/>
        <w:rPr>
          <w:rFonts w:ascii="Arial" w:hAnsi="Arial" w:cs="Arial"/>
          <w:lang w:val="es-PY"/>
        </w:rPr>
      </w:pPr>
      <w:r w:rsidRPr="00ED670E">
        <w:rPr>
          <w:rFonts w:ascii="Arial" w:hAnsi="Arial" w:cs="Arial"/>
          <w:lang w:val="es-ES"/>
        </w:rPr>
        <w:t xml:space="preserve">Rojas, M. (2021). </w:t>
      </w:r>
      <w:r w:rsidRPr="00ED670E">
        <w:rPr>
          <w:rFonts w:ascii="Arial" w:hAnsi="Arial" w:cs="Arial"/>
          <w:lang w:val="es-PY"/>
        </w:rPr>
        <w:t xml:space="preserve">Los retos de una educación virtual para estudiantes con necesidades </w:t>
      </w:r>
    </w:p>
    <w:p w14:paraId="30A79758" w14:textId="19F235E4" w:rsidR="00ED670E" w:rsidRPr="00657670" w:rsidRDefault="00ED670E" w:rsidP="00DD046F">
      <w:pPr>
        <w:spacing w:after="0"/>
        <w:ind w:left="720"/>
        <w:rPr>
          <w:rFonts w:ascii="Arial" w:hAnsi="Arial" w:cs="Arial"/>
          <w:lang w:val="es-ES"/>
        </w:rPr>
      </w:pPr>
      <w:r w:rsidRPr="00ED670E">
        <w:rPr>
          <w:rFonts w:ascii="Arial" w:hAnsi="Arial" w:cs="Arial"/>
          <w:lang w:val="es-PY"/>
        </w:rPr>
        <w:t xml:space="preserve">educativas especiales. </w:t>
      </w:r>
      <w:proofErr w:type="spellStart"/>
      <w:r w:rsidRPr="00657670">
        <w:rPr>
          <w:rFonts w:ascii="Arial" w:hAnsi="Arial" w:cs="Arial"/>
          <w:i/>
          <w:iCs/>
          <w:lang w:val="es-ES"/>
        </w:rPr>
        <w:t>Hamutay</w:t>
      </w:r>
      <w:proofErr w:type="spellEnd"/>
      <w:r w:rsidRPr="00657670">
        <w:rPr>
          <w:rFonts w:ascii="Arial" w:hAnsi="Arial" w:cs="Arial"/>
          <w:lang w:val="es-ES"/>
        </w:rPr>
        <w:t xml:space="preserve">, 8 (1), 9-22. </w:t>
      </w:r>
      <w:hyperlink r:id="rId29" w:history="1">
        <w:r w:rsidR="00500F71" w:rsidRPr="00657670">
          <w:rPr>
            <w:rStyle w:val="Hyperlink"/>
            <w:rFonts w:ascii="Arial" w:hAnsi="Arial" w:cs="Arial"/>
            <w:lang w:val="es-ES"/>
          </w:rPr>
          <w:t>http://dx.doi.org/10.21503/hamu.v8i1.2232</w:t>
        </w:r>
      </w:hyperlink>
    </w:p>
    <w:p w14:paraId="4703BEDE" w14:textId="77777777" w:rsidR="00500F71" w:rsidRDefault="00ED670E" w:rsidP="00DD046F">
      <w:pPr>
        <w:spacing w:after="0"/>
        <w:rPr>
          <w:rFonts w:ascii="Arial" w:hAnsi="Arial" w:cs="Arial"/>
          <w:lang w:val="es-PY"/>
        </w:rPr>
      </w:pPr>
      <w:r w:rsidRPr="00657670">
        <w:rPr>
          <w:rFonts w:ascii="Arial" w:hAnsi="Arial" w:cs="Arial"/>
          <w:lang w:val="es-ES"/>
        </w:rPr>
        <w:t xml:space="preserve">Roma, M.C. (2021). </w:t>
      </w:r>
      <w:r w:rsidRPr="00ED670E">
        <w:rPr>
          <w:rFonts w:ascii="Arial" w:hAnsi="Arial" w:cs="Arial"/>
          <w:lang w:val="es-PY"/>
        </w:rPr>
        <w:t xml:space="preserve">La accesibilidad en los entornos educativos virtuales: Una revisión </w:t>
      </w:r>
    </w:p>
    <w:p w14:paraId="2865E87B" w14:textId="460C018B" w:rsidR="00ED670E" w:rsidRPr="00ED670E" w:rsidRDefault="00ED670E" w:rsidP="00DD046F">
      <w:pPr>
        <w:spacing w:after="0"/>
        <w:ind w:left="720"/>
        <w:rPr>
          <w:rFonts w:ascii="Arial" w:hAnsi="Arial" w:cs="Arial"/>
          <w:lang w:val="es-PY"/>
        </w:rPr>
      </w:pPr>
      <w:r w:rsidRPr="00ED670E">
        <w:rPr>
          <w:rFonts w:ascii="Arial" w:hAnsi="Arial" w:cs="Arial"/>
          <w:lang w:val="es-PY"/>
        </w:rPr>
        <w:t xml:space="preserve">sistemática. </w:t>
      </w:r>
      <w:r w:rsidRPr="00500F71">
        <w:rPr>
          <w:rFonts w:ascii="Arial" w:hAnsi="Arial" w:cs="Arial"/>
          <w:i/>
          <w:iCs/>
          <w:lang w:val="es-PY"/>
        </w:rPr>
        <w:t xml:space="preserve">Revista Científica Arbitrada de la Fundación </w:t>
      </w:r>
      <w:proofErr w:type="spellStart"/>
      <w:r w:rsidRPr="00500F71">
        <w:rPr>
          <w:rFonts w:ascii="Arial" w:hAnsi="Arial" w:cs="Arial"/>
          <w:i/>
          <w:iCs/>
          <w:lang w:val="es-PY"/>
        </w:rPr>
        <w:t>MenteClara</w:t>
      </w:r>
      <w:proofErr w:type="spellEnd"/>
      <w:r w:rsidRPr="00ED670E">
        <w:rPr>
          <w:rFonts w:ascii="Arial" w:hAnsi="Arial" w:cs="Arial"/>
          <w:lang w:val="es-PY"/>
        </w:rPr>
        <w:t>, 6 (219). DOI: https://doi.org/10.32351/rca.v6.219</w:t>
      </w:r>
    </w:p>
    <w:p w14:paraId="11E08D95" w14:textId="77777777" w:rsidR="00500F71" w:rsidRDefault="00ED670E" w:rsidP="00DD046F">
      <w:pPr>
        <w:spacing w:after="0"/>
        <w:rPr>
          <w:rFonts w:ascii="Arial" w:hAnsi="Arial" w:cs="Arial"/>
          <w:lang w:val="es-ES"/>
        </w:rPr>
      </w:pPr>
      <w:r w:rsidRPr="00ED670E">
        <w:rPr>
          <w:rFonts w:ascii="Arial" w:hAnsi="Arial" w:cs="Arial"/>
          <w:lang w:val="es-ES"/>
        </w:rPr>
        <w:t xml:space="preserve">Romero Carbonell, M., Romeu Fontanillas, T., </w:t>
      </w:r>
      <w:proofErr w:type="spellStart"/>
      <w:r w:rsidRPr="00ED670E">
        <w:rPr>
          <w:rFonts w:ascii="Arial" w:hAnsi="Arial" w:cs="Arial"/>
          <w:lang w:val="es-ES"/>
        </w:rPr>
        <w:t>Guitert</w:t>
      </w:r>
      <w:proofErr w:type="spellEnd"/>
      <w:r w:rsidRPr="00ED670E">
        <w:rPr>
          <w:rFonts w:ascii="Arial" w:hAnsi="Arial" w:cs="Arial"/>
          <w:lang w:val="es-ES"/>
        </w:rPr>
        <w:t xml:space="preserve"> </w:t>
      </w:r>
      <w:proofErr w:type="spellStart"/>
      <w:r w:rsidRPr="00ED670E">
        <w:rPr>
          <w:rFonts w:ascii="Arial" w:hAnsi="Arial" w:cs="Arial"/>
          <w:lang w:val="es-ES"/>
        </w:rPr>
        <w:t>Catasús</w:t>
      </w:r>
      <w:proofErr w:type="spellEnd"/>
      <w:r w:rsidRPr="00ED670E">
        <w:rPr>
          <w:rFonts w:ascii="Arial" w:hAnsi="Arial" w:cs="Arial"/>
          <w:lang w:val="es-ES"/>
        </w:rPr>
        <w:t xml:space="preserve">, M., y Baztán Quemada, </w:t>
      </w:r>
    </w:p>
    <w:p w14:paraId="68948488" w14:textId="55A40F01" w:rsidR="00ED670E" w:rsidRPr="00500F71" w:rsidRDefault="00ED670E" w:rsidP="00DD046F">
      <w:pPr>
        <w:spacing w:after="0"/>
        <w:ind w:left="720"/>
        <w:rPr>
          <w:rFonts w:ascii="Arial" w:hAnsi="Arial" w:cs="Arial"/>
          <w:i/>
          <w:iCs/>
          <w:lang w:val="es-ES"/>
        </w:rPr>
      </w:pPr>
      <w:r w:rsidRPr="00ED670E">
        <w:rPr>
          <w:rFonts w:ascii="Arial" w:hAnsi="Arial" w:cs="Arial"/>
          <w:lang w:val="es-ES"/>
        </w:rPr>
        <w:t>P. (2023). La transformación digital en la educación superior: el caso de la UOC. RIED-</w:t>
      </w:r>
      <w:r w:rsidRPr="00500F71">
        <w:rPr>
          <w:rFonts w:ascii="Arial" w:hAnsi="Arial" w:cs="Arial"/>
          <w:i/>
          <w:iCs/>
          <w:lang w:val="es-ES"/>
        </w:rPr>
        <w:t xml:space="preserve">Revista Iberoamericana de Educación a Distancia, 26(1), 163-179. </w:t>
      </w:r>
      <w:hyperlink r:id="rId30" w:history="1">
        <w:r w:rsidRPr="00500F71">
          <w:rPr>
            <w:rStyle w:val="Hyperlink"/>
            <w:rFonts w:ascii="Arial" w:hAnsi="Arial" w:cs="Arial"/>
            <w:i/>
            <w:iCs/>
            <w:lang w:val="es-ES"/>
          </w:rPr>
          <w:t>https://doi.org/10.5944/ried.26.1.33998</w:t>
        </w:r>
      </w:hyperlink>
    </w:p>
    <w:p w14:paraId="42576C06" w14:textId="77777777" w:rsidR="00B37808" w:rsidRDefault="00ED670E" w:rsidP="00DD046F">
      <w:pPr>
        <w:spacing w:after="0"/>
        <w:rPr>
          <w:rFonts w:ascii="Arial" w:hAnsi="Arial" w:cs="Arial"/>
          <w:lang w:val="es-ES"/>
        </w:rPr>
      </w:pPr>
      <w:r w:rsidRPr="00ED670E">
        <w:rPr>
          <w:rFonts w:ascii="Arial" w:hAnsi="Arial" w:cs="Arial"/>
          <w:lang w:val="es-ES"/>
        </w:rPr>
        <w:t xml:space="preserve">Quispe Choque, Marcelina, &amp; Nieto Rivas, Elier. (2024). Recursos educativos abiertos </w:t>
      </w:r>
    </w:p>
    <w:p w14:paraId="2724C595" w14:textId="2F473891" w:rsidR="00ED670E" w:rsidRPr="00657670" w:rsidRDefault="00ED670E" w:rsidP="00DD046F">
      <w:pPr>
        <w:spacing w:after="0"/>
        <w:ind w:left="720"/>
        <w:rPr>
          <w:rFonts w:ascii="Arial" w:hAnsi="Arial" w:cs="Arial"/>
          <w:lang w:val="en-US"/>
        </w:rPr>
      </w:pPr>
      <w:r w:rsidRPr="00ED670E">
        <w:rPr>
          <w:rFonts w:ascii="Arial" w:hAnsi="Arial" w:cs="Arial"/>
          <w:lang w:val="es-ES"/>
        </w:rPr>
        <w:t>como herramientas didácticas para el logro del aprendizaje. </w:t>
      </w:r>
      <w:r w:rsidRPr="00ED670E">
        <w:rPr>
          <w:rFonts w:ascii="Arial" w:hAnsi="Arial" w:cs="Arial"/>
          <w:i/>
          <w:iCs/>
          <w:lang w:val="es-ES"/>
        </w:rPr>
        <w:t>Horizontes Revista de Investigación en Ciencias de la Educación</w:t>
      </w:r>
      <w:r w:rsidRPr="00ED670E">
        <w:rPr>
          <w:rFonts w:ascii="Arial" w:hAnsi="Arial" w:cs="Arial"/>
          <w:lang w:val="es-ES"/>
        </w:rPr>
        <w:t>, </w:t>
      </w:r>
      <w:r w:rsidRPr="00ED670E">
        <w:rPr>
          <w:rFonts w:ascii="Arial" w:hAnsi="Arial" w:cs="Arial"/>
          <w:i/>
          <w:iCs/>
          <w:lang w:val="es-ES"/>
        </w:rPr>
        <w:t>8</w:t>
      </w:r>
      <w:r w:rsidRPr="00ED670E">
        <w:rPr>
          <w:rFonts w:ascii="Arial" w:hAnsi="Arial" w:cs="Arial"/>
          <w:lang w:val="es-ES"/>
        </w:rPr>
        <w:t>(33), 992-</w:t>
      </w:r>
      <w:proofErr w:type="gramStart"/>
      <w:r w:rsidRPr="00ED670E">
        <w:rPr>
          <w:rFonts w:ascii="Arial" w:hAnsi="Arial" w:cs="Arial"/>
          <w:lang w:val="es-ES"/>
        </w:rPr>
        <w:t>1003</w:t>
      </w:r>
      <w:r w:rsidR="00B37808">
        <w:rPr>
          <w:rFonts w:ascii="Arial" w:hAnsi="Arial" w:cs="Arial"/>
          <w:lang w:val="es-ES"/>
        </w:rPr>
        <w:t xml:space="preserve"> </w:t>
      </w:r>
      <w:r w:rsidRPr="00ED670E">
        <w:rPr>
          <w:rFonts w:ascii="Arial" w:hAnsi="Arial" w:cs="Arial"/>
          <w:lang w:val="es-ES"/>
        </w:rPr>
        <w:t>.</w:t>
      </w:r>
      <w:proofErr w:type="gramEnd"/>
      <w:hyperlink r:id="rId31" w:history="1">
        <w:r w:rsidRPr="00657670">
          <w:rPr>
            <w:rStyle w:val="Hyperlink"/>
            <w:rFonts w:ascii="Arial" w:hAnsi="Arial" w:cs="Arial"/>
            <w:lang w:val="en-US"/>
          </w:rPr>
          <w:t>https://doi.org/10.33996/revistahorizontes.v8i33.778</w:t>
        </w:r>
      </w:hyperlink>
    </w:p>
    <w:p w14:paraId="48B673A7" w14:textId="77777777" w:rsidR="00B37808" w:rsidRDefault="00ED670E" w:rsidP="00DD046F">
      <w:pPr>
        <w:spacing w:after="0"/>
        <w:rPr>
          <w:rFonts w:ascii="Arial" w:hAnsi="Arial" w:cs="Arial"/>
          <w:lang w:val="en-US"/>
        </w:rPr>
      </w:pPr>
      <w:r w:rsidRPr="00ED670E">
        <w:rPr>
          <w:rFonts w:ascii="Arial" w:hAnsi="Arial" w:cs="Arial"/>
          <w:lang w:val="en-US"/>
        </w:rPr>
        <w:t xml:space="preserve">Silva, G., Godwin, G., &amp; </w:t>
      </w:r>
      <w:proofErr w:type="spellStart"/>
      <w:r w:rsidRPr="00ED670E">
        <w:rPr>
          <w:rFonts w:ascii="Arial" w:hAnsi="Arial" w:cs="Arial"/>
          <w:lang w:val="en-US"/>
        </w:rPr>
        <w:t>Jayanagara</w:t>
      </w:r>
      <w:proofErr w:type="spellEnd"/>
      <w:r w:rsidRPr="00ED670E">
        <w:rPr>
          <w:rFonts w:ascii="Arial" w:hAnsi="Arial" w:cs="Arial"/>
          <w:lang w:val="en-US"/>
        </w:rPr>
        <w:t xml:space="preserve">, O. (2024). The Impact of AI on Personalized </w:t>
      </w:r>
    </w:p>
    <w:p w14:paraId="06FD9B10" w14:textId="6DFE1D49" w:rsidR="00ED670E" w:rsidRPr="00ED670E" w:rsidRDefault="00ED670E" w:rsidP="00DD046F">
      <w:pPr>
        <w:spacing w:after="0"/>
        <w:ind w:left="720"/>
        <w:rPr>
          <w:rFonts w:ascii="Arial" w:hAnsi="Arial" w:cs="Arial"/>
          <w:lang w:val="en-US"/>
        </w:rPr>
      </w:pPr>
      <w:r w:rsidRPr="00ED670E">
        <w:rPr>
          <w:rFonts w:ascii="Arial" w:hAnsi="Arial" w:cs="Arial"/>
          <w:lang w:val="en-US"/>
        </w:rPr>
        <w:t xml:space="preserve">Learning and Educational Analytics. </w:t>
      </w:r>
      <w:r w:rsidRPr="00ED670E">
        <w:rPr>
          <w:rFonts w:ascii="Arial" w:hAnsi="Arial" w:cs="Arial"/>
          <w:i/>
          <w:iCs/>
          <w:lang w:val="en-US"/>
        </w:rPr>
        <w:t>International Transactions on Education Technology (ITEE),</w:t>
      </w:r>
      <w:r w:rsidRPr="00ED670E">
        <w:rPr>
          <w:rFonts w:ascii="Arial" w:hAnsi="Arial" w:cs="Arial"/>
          <w:lang w:val="en-US"/>
        </w:rPr>
        <w:t xml:space="preserve"> 3(1), 36–46. https://doi.org/10.33050/itee.v3i1.669</w:t>
      </w:r>
    </w:p>
    <w:p w14:paraId="2EBCF2BA" w14:textId="77777777" w:rsidR="00B37808" w:rsidRDefault="00ED670E" w:rsidP="00DD046F">
      <w:pPr>
        <w:spacing w:after="0"/>
        <w:rPr>
          <w:rFonts w:ascii="Arial" w:hAnsi="Arial" w:cs="Arial"/>
          <w:lang w:val="es-ES"/>
        </w:rPr>
      </w:pPr>
      <w:r w:rsidRPr="00ED670E">
        <w:rPr>
          <w:rFonts w:ascii="Arial" w:hAnsi="Arial" w:cs="Arial"/>
          <w:lang w:val="es-ES"/>
        </w:rPr>
        <w:t xml:space="preserve">Suárez, R., Córdova, M., Cabrera, A., y Plaza, S., (2024) Innovación y accesibilidad en </w:t>
      </w:r>
    </w:p>
    <w:p w14:paraId="4A325807" w14:textId="1A7FAA82"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la educación inclusiva: tecnologías móviles, motivación y recursos en línea como catalizadores del aprendizaje en entornos regulares. </w:t>
      </w:r>
      <w:proofErr w:type="spellStart"/>
      <w:r w:rsidRPr="00ED670E">
        <w:rPr>
          <w:rFonts w:ascii="Arial" w:hAnsi="Arial" w:cs="Arial"/>
          <w:i/>
          <w:lang w:val="es-ES"/>
        </w:rPr>
        <w:t>Reincisol</w:t>
      </w:r>
      <w:proofErr w:type="spellEnd"/>
      <w:r w:rsidRPr="00ED670E">
        <w:rPr>
          <w:rFonts w:ascii="Arial" w:hAnsi="Arial" w:cs="Arial"/>
          <w:lang w:val="es-ES"/>
        </w:rPr>
        <w:t>, 3(6), pp. 4291-4313. https://doi.org/10.59282/reincisol.V3(6)4291-4313</w:t>
      </w:r>
    </w:p>
    <w:p w14:paraId="419B9940" w14:textId="77777777" w:rsidR="00B37808" w:rsidRDefault="00ED670E" w:rsidP="00DD046F">
      <w:pPr>
        <w:spacing w:after="0"/>
        <w:rPr>
          <w:rFonts w:ascii="Arial" w:hAnsi="Arial" w:cs="Arial"/>
          <w:lang w:val="es-ES"/>
        </w:rPr>
      </w:pPr>
      <w:r w:rsidRPr="00ED670E">
        <w:rPr>
          <w:rFonts w:ascii="Arial" w:hAnsi="Arial" w:cs="Arial"/>
          <w:lang w:val="es-ES"/>
        </w:rPr>
        <w:t xml:space="preserve">Tapia, D., Freire, L., y Hallo, E., (2025). Aprendizaje Basado en Proyectos: Un enfoque </w:t>
      </w:r>
    </w:p>
    <w:p w14:paraId="0867EC9F" w14:textId="21B89793" w:rsidR="00ED670E" w:rsidRPr="00ED670E" w:rsidRDefault="00ED670E" w:rsidP="00DD046F">
      <w:pPr>
        <w:spacing w:after="0"/>
        <w:ind w:left="720"/>
        <w:rPr>
          <w:rFonts w:ascii="Arial" w:hAnsi="Arial" w:cs="Arial"/>
          <w:lang w:val="es-ES"/>
        </w:rPr>
      </w:pPr>
      <w:r w:rsidRPr="00ED670E">
        <w:rPr>
          <w:rFonts w:ascii="Arial" w:hAnsi="Arial" w:cs="Arial"/>
          <w:lang w:val="es-ES"/>
        </w:rPr>
        <w:t xml:space="preserve">educativo innovador para una enseñanza activa. </w:t>
      </w:r>
      <w:proofErr w:type="spellStart"/>
      <w:r w:rsidRPr="00B37808">
        <w:rPr>
          <w:rFonts w:ascii="Arial" w:hAnsi="Arial" w:cs="Arial"/>
          <w:i/>
          <w:iCs/>
          <w:lang w:val="es-ES"/>
        </w:rPr>
        <w:t>Reincisol</w:t>
      </w:r>
      <w:proofErr w:type="spellEnd"/>
      <w:r w:rsidRPr="00ED670E">
        <w:rPr>
          <w:rFonts w:ascii="Arial" w:hAnsi="Arial" w:cs="Arial"/>
          <w:lang w:val="es-ES"/>
        </w:rPr>
        <w:t>, 4(7), 320-341. https://doi.org/10.59282/reincisol.V4(7)320-341</w:t>
      </w:r>
    </w:p>
    <w:p w14:paraId="50E3F49D" w14:textId="77777777" w:rsidR="00B37808" w:rsidRDefault="00ED670E" w:rsidP="00DD046F">
      <w:pPr>
        <w:spacing w:after="0"/>
        <w:rPr>
          <w:rFonts w:ascii="Arial" w:hAnsi="Arial" w:cs="Arial"/>
          <w:lang w:val="es-ES"/>
        </w:rPr>
      </w:pPr>
      <w:r w:rsidRPr="00ED670E">
        <w:rPr>
          <w:rFonts w:ascii="Arial" w:hAnsi="Arial" w:cs="Arial"/>
          <w:lang w:val="es-ES"/>
        </w:rPr>
        <w:t xml:space="preserve">Torres Velandia, S. Ángel, &amp; Jerónimo Montes, J. A. (2021). Recursos educativos </w:t>
      </w:r>
    </w:p>
    <w:p w14:paraId="15ED4EB4" w14:textId="09530498" w:rsidR="00ED670E" w:rsidRPr="00ED670E" w:rsidRDefault="00ED670E" w:rsidP="00DD046F">
      <w:pPr>
        <w:spacing w:after="0"/>
        <w:ind w:left="720"/>
        <w:rPr>
          <w:rFonts w:ascii="Arial" w:hAnsi="Arial" w:cs="Arial"/>
          <w:lang w:val="es-ES"/>
        </w:rPr>
      </w:pPr>
      <w:r w:rsidRPr="00ED670E">
        <w:rPr>
          <w:rFonts w:ascii="Arial" w:hAnsi="Arial" w:cs="Arial"/>
          <w:lang w:val="es-ES"/>
        </w:rPr>
        <w:t>abiertos, retos y oportunidades en tiempos de pandemia: estudio de caso, México. </w:t>
      </w:r>
      <w:r w:rsidRPr="00ED670E">
        <w:rPr>
          <w:rFonts w:ascii="Arial" w:hAnsi="Arial" w:cs="Arial"/>
          <w:i/>
          <w:iCs/>
          <w:lang w:val="es-ES"/>
        </w:rPr>
        <w:t>RECIE. Revista Electrónica Científica De Investigación Educativa</w:t>
      </w:r>
      <w:r w:rsidRPr="00ED670E">
        <w:rPr>
          <w:rFonts w:ascii="Arial" w:hAnsi="Arial" w:cs="Arial"/>
          <w:lang w:val="es-ES"/>
        </w:rPr>
        <w:t>, </w:t>
      </w:r>
      <w:r w:rsidRPr="00ED670E">
        <w:rPr>
          <w:rFonts w:ascii="Arial" w:hAnsi="Arial" w:cs="Arial"/>
          <w:i/>
          <w:iCs/>
          <w:lang w:val="es-ES"/>
        </w:rPr>
        <w:t>5</w:t>
      </w:r>
      <w:r w:rsidRPr="00ED670E">
        <w:rPr>
          <w:rFonts w:ascii="Arial" w:hAnsi="Arial" w:cs="Arial"/>
          <w:lang w:val="es-ES"/>
        </w:rPr>
        <w:t>(2), 199-214. https://doi.org/10.33010/recie.v5i2.1439</w:t>
      </w:r>
    </w:p>
    <w:p w14:paraId="388D0DFF" w14:textId="77777777" w:rsidR="00B37808" w:rsidRDefault="00ED670E" w:rsidP="00DD046F">
      <w:pPr>
        <w:spacing w:after="0"/>
        <w:rPr>
          <w:rFonts w:ascii="Arial" w:hAnsi="Arial" w:cs="Arial"/>
          <w:i/>
          <w:iCs/>
          <w:lang w:val="es-ES"/>
        </w:rPr>
      </w:pPr>
      <w:r w:rsidRPr="00ED670E">
        <w:rPr>
          <w:rFonts w:ascii="Arial" w:hAnsi="Arial" w:cs="Arial"/>
          <w:lang w:val="es-ES"/>
        </w:rPr>
        <w:t xml:space="preserve">UNESCO. (2019). </w:t>
      </w:r>
      <w:r w:rsidRPr="00ED670E">
        <w:rPr>
          <w:rFonts w:ascii="Arial" w:hAnsi="Arial" w:cs="Arial"/>
          <w:i/>
          <w:iCs/>
          <w:lang w:val="es-ES"/>
        </w:rPr>
        <w:t xml:space="preserve">Recomendación sobre los Recursos Educativos Abiertos (REA). </w:t>
      </w:r>
    </w:p>
    <w:p w14:paraId="4BF1190B" w14:textId="4D3A6394" w:rsidR="00ED670E" w:rsidRPr="00ED670E" w:rsidRDefault="00B37808" w:rsidP="00DD046F">
      <w:pPr>
        <w:spacing w:after="0"/>
        <w:ind w:left="720"/>
        <w:rPr>
          <w:rFonts w:ascii="Arial" w:hAnsi="Arial" w:cs="Arial"/>
          <w:i/>
          <w:iCs/>
        </w:rPr>
      </w:pPr>
      <w:hyperlink r:id="rId32" w:history="1">
        <w:r w:rsidRPr="00F47AEB">
          <w:rPr>
            <w:rStyle w:val="Hyperlink"/>
            <w:rFonts w:ascii="Arial" w:hAnsi="Arial" w:cs="Arial"/>
            <w:i/>
            <w:iCs/>
          </w:rPr>
          <w:t>https://www.unesco.org/es/legal-affairs/recommendation-open-educational-resources-oer?hub=785</w:t>
        </w:r>
      </w:hyperlink>
      <w:r w:rsidR="00ED670E" w:rsidRPr="00ED670E">
        <w:rPr>
          <w:rFonts w:ascii="Arial" w:hAnsi="Arial" w:cs="Arial"/>
          <w:i/>
          <w:iCs/>
        </w:rPr>
        <w:t xml:space="preserve"> </w:t>
      </w:r>
    </w:p>
    <w:p w14:paraId="10E44267" w14:textId="77777777" w:rsidR="00B37808" w:rsidRPr="00B37808" w:rsidRDefault="00ED670E" w:rsidP="00DD046F">
      <w:pPr>
        <w:spacing w:after="0"/>
        <w:rPr>
          <w:rFonts w:ascii="Arial" w:hAnsi="Arial" w:cs="Arial"/>
          <w:i/>
          <w:iCs/>
          <w:lang w:val="en-US"/>
        </w:rPr>
      </w:pPr>
      <w:r w:rsidRPr="00ED670E">
        <w:rPr>
          <w:rFonts w:ascii="Arial" w:hAnsi="Arial" w:cs="Arial"/>
          <w:lang w:val="en-US"/>
        </w:rPr>
        <w:t xml:space="preserve">UNESCO. 2023. </w:t>
      </w:r>
      <w:r w:rsidRPr="00B37808">
        <w:rPr>
          <w:rFonts w:ascii="Arial" w:hAnsi="Arial" w:cs="Arial"/>
          <w:i/>
          <w:iCs/>
          <w:lang w:val="en-US"/>
        </w:rPr>
        <w:t xml:space="preserve">Global Education Monitoring Report Summary 2023: Technology in </w:t>
      </w:r>
    </w:p>
    <w:p w14:paraId="7B5AAA09" w14:textId="46DFC062" w:rsidR="00ED670E" w:rsidRPr="00ED670E" w:rsidRDefault="00ED670E" w:rsidP="00DD046F">
      <w:pPr>
        <w:spacing w:after="0"/>
        <w:ind w:left="720"/>
        <w:rPr>
          <w:rFonts w:ascii="Arial" w:hAnsi="Arial" w:cs="Arial"/>
          <w:lang w:val="es-PY"/>
        </w:rPr>
      </w:pPr>
      <w:r w:rsidRPr="00B37808">
        <w:rPr>
          <w:rFonts w:ascii="Arial" w:hAnsi="Arial" w:cs="Arial"/>
          <w:i/>
          <w:iCs/>
          <w:lang w:val="en-US"/>
        </w:rPr>
        <w:t xml:space="preserve">education: A tool on whose terms? </w:t>
      </w:r>
      <w:r w:rsidRPr="00B37808">
        <w:rPr>
          <w:rFonts w:ascii="Arial" w:hAnsi="Arial" w:cs="Arial"/>
          <w:i/>
          <w:iCs/>
          <w:lang w:val="es-PY"/>
        </w:rPr>
        <w:t>París, UNESCO</w:t>
      </w:r>
      <w:r w:rsidRPr="00ED670E">
        <w:rPr>
          <w:rFonts w:ascii="Arial" w:hAnsi="Arial" w:cs="Arial"/>
          <w:lang w:val="es-PY"/>
        </w:rPr>
        <w:t xml:space="preserve">. </w:t>
      </w:r>
      <w:hyperlink r:id="rId33" w:history="1">
        <w:r w:rsidRPr="00ED670E">
          <w:rPr>
            <w:rStyle w:val="Hyperlink"/>
            <w:rFonts w:ascii="Arial" w:hAnsi="Arial" w:cs="Arial"/>
            <w:lang w:val="es-PY"/>
          </w:rPr>
          <w:t>https://www.unesco.org/gem-report/sites/default/files/medias/fichiers/2023/07/7952%20UNESCO%20GEM%202023%20Summary_ES_Web.pdf</w:t>
        </w:r>
      </w:hyperlink>
      <w:r w:rsidRPr="00ED670E">
        <w:rPr>
          <w:rFonts w:ascii="Arial" w:hAnsi="Arial" w:cs="Arial"/>
          <w:lang w:val="es-PY"/>
        </w:rPr>
        <w:t xml:space="preserve"> </w:t>
      </w:r>
    </w:p>
    <w:p w14:paraId="25BEC1E0" w14:textId="77777777" w:rsidR="00B37808" w:rsidRDefault="00ED670E" w:rsidP="00DD046F">
      <w:pPr>
        <w:spacing w:after="0"/>
        <w:rPr>
          <w:rFonts w:ascii="Arial" w:hAnsi="Arial" w:cs="Arial"/>
          <w:i/>
          <w:iCs/>
          <w:lang w:val="es-ES"/>
        </w:rPr>
      </w:pPr>
      <w:r w:rsidRPr="00ED670E">
        <w:rPr>
          <w:rFonts w:ascii="Arial" w:hAnsi="Arial" w:cs="Arial"/>
          <w:lang w:val="es-ES"/>
        </w:rPr>
        <w:t xml:space="preserve">UNESCO. (2022). </w:t>
      </w:r>
      <w:proofErr w:type="spellStart"/>
      <w:r w:rsidRPr="00ED670E">
        <w:rPr>
          <w:rFonts w:ascii="Arial" w:hAnsi="Arial" w:cs="Arial"/>
          <w:i/>
          <w:iCs/>
          <w:lang w:val="es-ES"/>
        </w:rPr>
        <w:t>Reimaginar</w:t>
      </w:r>
      <w:proofErr w:type="spellEnd"/>
      <w:r w:rsidRPr="00ED670E">
        <w:rPr>
          <w:rFonts w:ascii="Arial" w:hAnsi="Arial" w:cs="Arial"/>
          <w:i/>
          <w:iCs/>
          <w:lang w:val="es-ES"/>
        </w:rPr>
        <w:t xml:space="preserve"> juntos nuestros futuros: Un nuevo contrato social para la </w:t>
      </w:r>
    </w:p>
    <w:p w14:paraId="603A22D0" w14:textId="413F1DB9" w:rsidR="00ED670E" w:rsidRPr="00ED670E" w:rsidRDefault="00ED670E" w:rsidP="00DD046F">
      <w:pPr>
        <w:spacing w:after="0"/>
        <w:ind w:left="720"/>
        <w:rPr>
          <w:rFonts w:ascii="Arial" w:hAnsi="Arial" w:cs="Arial"/>
          <w:lang w:val="es-PY"/>
        </w:rPr>
      </w:pPr>
      <w:r w:rsidRPr="00ED670E">
        <w:rPr>
          <w:rFonts w:ascii="Arial" w:hAnsi="Arial" w:cs="Arial"/>
          <w:i/>
          <w:iCs/>
          <w:lang w:val="es-ES"/>
        </w:rPr>
        <w:t>educación</w:t>
      </w:r>
      <w:r w:rsidRPr="00ED670E">
        <w:rPr>
          <w:rFonts w:ascii="Arial" w:hAnsi="Arial" w:cs="Arial"/>
          <w:lang w:val="es-ES"/>
        </w:rPr>
        <w:t xml:space="preserve">. </w:t>
      </w:r>
      <w:r w:rsidRPr="00ED670E">
        <w:rPr>
          <w:rFonts w:ascii="Arial" w:hAnsi="Arial" w:cs="Arial"/>
          <w:lang w:val="es-PY"/>
        </w:rPr>
        <w:t xml:space="preserve">Paris: UNESCO. </w:t>
      </w:r>
      <w:hyperlink r:id="rId34" w:history="1">
        <w:r w:rsidR="00B37808" w:rsidRPr="00F47AEB">
          <w:rPr>
            <w:rStyle w:val="Hyperlink"/>
            <w:rFonts w:ascii="Arial" w:hAnsi="Arial" w:cs="Arial"/>
            <w:lang w:val="es-PY"/>
          </w:rPr>
          <w:t>https://unesdoc.unesco.org/ark:/48223/pf0000379707</w:t>
        </w:r>
      </w:hyperlink>
      <w:r w:rsidRPr="00ED670E">
        <w:rPr>
          <w:rFonts w:ascii="Arial" w:hAnsi="Arial" w:cs="Arial"/>
          <w:lang w:val="es-PY"/>
        </w:rPr>
        <w:t xml:space="preserve"> </w:t>
      </w:r>
    </w:p>
    <w:p w14:paraId="29986C44" w14:textId="77777777" w:rsidR="00B37808" w:rsidRDefault="00ED670E" w:rsidP="00DD046F">
      <w:pPr>
        <w:spacing w:after="0"/>
        <w:rPr>
          <w:rFonts w:ascii="Arial" w:hAnsi="Arial" w:cs="Arial"/>
          <w:lang w:val="es-ES"/>
        </w:rPr>
      </w:pPr>
      <w:r w:rsidRPr="00ED670E">
        <w:rPr>
          <w:rFonts w:ascii="Arial" w:hAnsi="Arial" w:cs="Arial"/>
          <w:lang w:val="es-ES"/>
        </w:rPr>
        <w:t xml:space="preserve">Vásquez, D. (2021). REA como herramienta útil en el aprendizaje basado en recursos. </w:t>
      </w:r>
    </w:p>
    <w:p w14:paraId="31567608" w14:textId="5F7C3975" w:rsidR="00ED670E" w:rsidRPr="00ED670E" w:rsidRDefault="00ED670E" w:rsidP="00DD046F">
      <w:pPr>
        <w:spacing w:after="0"/>
        <w:ind w:firstLine="720"/>
        <w:rPr>
          <w:rFonts w:ascii="Arial" w:hAnsi="Arial" w:cs="Arial"/>
          <w:lang w:val="es-ES"/>
        </w:rPr>
      </w:pPr>
      <w:r w:rsidRPr="00B37808">
        <w:rPr>
          <w:rFonts w:ascii="Arial" w:hAnsi="Arial" w:cs="Arial"/>
          <w:i/>
          <w:iCs/>
          <w:lang w:val="es-ES"/>
        </w:rPr>
        <w:t>Cuaderno de Pedagogía Universitaria</w:t>
      </w:r>
      <w:r w:rsidR="00B37808">
        <w:rPr>
          <w:rFonts w:ascii="Arial" w:hAnsi="Arial" w:cs="Arial"/>
          <w:lang w:val="es-ES"/>
        </w:rPr>
        <w:t xml:space="preserve">, </w:t>
      </w:r>
      <w:r w:rsidRPr="00ED670E">
        <w:rPr>
          <w:rFonts w:ascii="Arial" w:hAnsi="Arial" w:cs="Arial"/>
          <w:lang w:val="es-ES"/>
        </w:rPr>
        <w:t xml:space="preserve">18, </w:t>
      </w:r>
      <w:r w:rsidR="00B37808">
        <w:rPr>
          <w:rFonts w:ascii="Arial" w:hAnsi="Arial" w:cs="Arial"/>
          <w:lang w:val="es-ES"/>
        </w:rPr>
        <w:t>(</w:t>
      </w:r>
      <w:r w:rsidRPr="00ED670E">
        <w:rPr>
          <w:rFonts w:ascii="Arial" w:hAnsi="Arial" w:cs="Arial"/>
          <w:lang w:val="es-ES"/>
        </w:rPr>
        <w:t>35</w:t>
      </w:r>
      <w:r w:rsidR="00B37808">
        <w:rPr>
          <w:rFonts w:ascii="Arial" w:hAnsi="Arial" w:cs="Arial"/>
          <w:lang w:val="es-ES"/>
        </w:rPr>
        <w:t>)</w:t>
      </w:r>
      <w:r w:rsidRPr="00ED670E">
        <w:rPr>
          <w:rFonts w:ascii="Arial" w:hAnsi="Arial" w:cs="Arial"/>
          <w:lang w:val="es-ES"/>
        </w:rPr>
        <w:t>,</w:t>
      </w:r>
      <w:r w:rsidR="00B37808">
        <w:rPr>
          <w:rFonts w:ascii="Arial" w:hAnsi="Arial" w:cs="Arial"/>
          <w:lang w:val="es-ES"/>
        </w:rPr>
        <w:t xml:space="preserve"> </w:t>
      </w:r>
      <w:r w:rsidRPr="00ED670E">
        <w:rPr>
          <w:rFonts w:ascii="Arial" w:hAnsi="Arial" w:cs="Arial"/>
          <w:lang w:val="es-ES"/>
        </w:rPr>
        <w:t>28-36</w:t>
      </w:r>
      <w:r w:rsidR="00B37808">
        <w:rPr>
          <w:rFonts w:ascii="Arial" w:hAnsi="Arial" w:cs="Arial"/>
          <w:lang w:val="es-ES"/>
        </w:rPr>
        <w:t>.</w:t>
      </w:r>
    </w:p>
    <w:p w14:paraId="21F21958" w14:textId="77777777" w:rsidR="00B37808" w:rsidRDefault="00ED670E" w:rsidP="00DD046F">
      <w:pPr>
        <w:spacing w:after="0"/>
        <w:rPr>
          <w:rFonts w:ascii="Arial" w:hAnsi="Arial" w:cs="Arial"/>
          <w:lang w:val="es-PY"/>
        </w:rPr>
      </w:pPr>
      <w:r w:rsidRPr="00ED670E">
        <w:rPr>
          <w:rFonts w:ascii="Arial" w:hAnsi="Arial" w:cs="Arial"/>
          <w:lang w:val="es-PY"/>
        </w:rPr>
        <w:t xml:space="preserve">Vera Azuara, R., Osorio </w:t>
      </w:r>
      <w:proofErr w:type="spellStart"/>
      <w:r w:rsidRPr="00ED670E">
        <w:rPr>
          <w:rFonts w:ascii="Arial" w:hAnsi="Arial" w:cs="Arial"/>
          <w:lang w:val="es-PY"/>
        </w:rPr>
        <w:t>Martinez</w:t>
      </w:r>
      <w:proofErr w:type="spellEnd"/>
      <w:r w:rsidRPr="00ED670E">
        <w:rPr>
          <w:rFonts w:ascii="Arial" w:hAnsi="Arial" w:cs="Arial"/>
          <w:lang w:val="es-PY"/>
        </w:rPr>
        <w:t xml:space="preserve">, C., Ruiz Diaz, S., &amp; Calderón Castro, A. L. (2025). La </w:t>
      </w:r>
    </w:p>
    <w:p w14:paraId="5CFADD08" w14:textId="577E438B" w:rsidR="00ED670E" w:rsidRPr="00ED670E" w:rsidRDefault="00ED670E" w:rsidP="00DD046F">
      <w:pPr>
        <w:spacing w:after="0"/>
        <w:ind w:left="720"/>
        <w:rPr>
          <w:rFonts w:ascii="Arial" w:hAnsi="Arial" w:cs="Arial"/>
          <w:lang w:val="es-PY"/>
        </w:rPr>
      </w:pPr>
      <w:r w:rsidRPr="00ED670E">
        <w:rPr>
          <w:rFonts w:ascii="Arial" w:hAnsi="Arial" w:cs="Arial"/>
          <w:lang w:val="es-PY"/>
        </w:rPr>
        <w:t xml:space="preserve">transformación digital de la educación superior: análisis de retos y oportunidades en la era virtual. </w:t>
      </w:r>
      <w:r w:rsidRPr="00ED670E">
        <w:rPr>
          <w:rFonts w:ascii="Arial" w:hAnsi="Arial" w:cs="Arial"/>
          <w:i/>
          <w:iCs/>
          <w:lang w:val="es-PY"/>
        </w:rPr>
        <w:t>LATAM Revista Latinoamericana De Ciencias Sociales Y Humanidades</w:t>
      </w:r>
      <w:r w:rsidRPr="00ED670E">
        <w:rPr>
          <w:rFonts w:ascii="Arial" w:hAnsi="Arial" w:cs="Arial"/>
          <w:lang w:val="es-PY"/>
        </w:rPr>
        <w:t>, 6(2), 384 – 392. https://doi.org/10.56712/latam.v6i2.3634</w:t>
      </w:r>
    </w:p>
    <w:p w14:paraId="7F71D5CA" w14:textId="77777777" w:rsidR="00B37808" w:rsidRDefault="00ED670E" w:rsidP="00DD046F">
      <w:pPr>
        <w:spacing w:after="0"/>
        <w:rPr>
          <w:rFonts w:ascii="Arial" w:hAnsi="Arial" w:cs="Arial"/>
          <w:lang w:val="es-ES"/>
        </w:rPr>
      </w:pPr>
      <w:r w:rsidRPr="00ED670E">
        <w:rPr>
          <w:rFonts w:ascii="Arial" w:hAnsi="Arial" w:cs="Arial"/>
          <w:lang w:val="es-ES"/>
        </w:rPr>
        <w:t xml:space="preserve">Zambrano Verdesoto, G. J., &amp; Caicedo, M. F. (2025). La Importancia del </w:t>
      </w:r>
    </w:p>
    <w:p w14:paraId="4258B439" w14:textId="0BB87F04" w:rsidR="00ED670E" w:rsidRPr="00DD046F" w:rsidRDefault="00ED670E" w:rsidP="00DD046F">
      <w:pPr>
        <w:spacing w:after="0"/>
        <w:ind w:left="720"/>
        <w:rPr>
          <w:rFonts w:ascii="Arial" w:hAnsi="Arial" w:cs="Arial"/>
          <w:i/>
          <w:iCs/>
          <w:lang w:val="es-ES"/>
        </w:rPr>
      </w:pPr>
      <w:proofErr w:type="spellStart"/>
      <w:r w:rsidRPr="00ED670E">
        <w:rPr>
          <w:rFonts w:ascii="Arial" w:hAnsi="Arial" w:cs="Arial"/>
          <w:lang w:val="es-ES"/>
        </w:rPr>
        <w:t>Microaprendizaje</w:t>
      </w:r>
      <w:proofErr w:type="spellEnd"/>
      <w:r w:rsidRPr="00ED670E">
        <w:rPr>
          <w:rFonts w:ascii="Arial" w:hAnsi="Arial" w:cs="Arial"/>
          <w:lang w:val="es-ES"/>
        </w:rPr>
        <w:t xml:space="preserve"> en la Educación Superior. </w:t>
      </w:r>
      <w:r w:rsidRPr="00657670">
        <w:rPr>
          <w:rFonts w:ascii="Arial" w:hAnsi="Arial" w:cs="Arial"/>
          <w:i/>
          <w:iCs/>
          <w:lang w:val="en-US"/>
        </w:rPr>
        <w:t xml:space="preserve">European Public &amp; Social Innovation Review, </w:t>
      </w:r>
      <w:r w:rsidRPr="00657670">
        <w:rPr>
          <w:rFonts w:ascii="Arial" w:hAnsi="Arial" w:cs="Arial"/>
          <w:lang w:val="en-US"/>
        </w:rPr>
        <w:t xml:space="preserve">10, 1–14. </w:t>
      </w:r>
      <w:hyperlink r:id="rId35" w:history="1">
        <w:r w:rsidRPr="00B37808">
          <w:rPr>
            <w:rStyle w:val="Hyperlink"/>
            <w:rFonts w:ascii="Arial" w:hAnsi="Arial" w:cs="Arial"/>
            <w:lang w:val="en-US"/>
          </w:rPr>
          <w:t>https://doi.org/10.31637/epsir-2025-2075</w:t>
        </w:r>
      </w:hyperlink>
      <w:r w:rsidRPr="00B37808">
        <w:rPr>
          <w:rFonts w:ascii="Arial" w:hAnsi="Arial" w:cs="Arial"/>
          <w:lang w:val="en-US"/>
        </w:rPr>
        <w:t xml:space="preserve"> </w:t>
      </w:r>
    </w:p>
    <w:p w14:paraId="495BD499" w14:textId="0C39C478" w:rsidR="00B94F1A" w:rsidRPr="00DE11A4" w:rsidRDefault="00B94F1A" w:rsidP="00DD046F">
      <w:pPr>
        <w:pStyle w:val="bibliografia"/>
        <w:spacing w:after="0"/>
        <w:ind w:left="0" w:firstLine="0"/>
        <w:rPr>
          <w:rFonts w:eastAsia="Arial"/>
          <w:lang w:val="en-US"/>
        </w:rPr>
      </w:pPr>
    </w:p>
    <w:sectPr w:rsidR="00B94F1A" w:rsidRPr="00DE11A4">
      <w:headerReference w:type="even" r:id="rId36"/>
      <w:headerReference w:type="default" r:id="rId37"/>
      <w:footerReference w:type="even" r:id="rId38"/>
      <w:footerReference w:type="default" r:id="rId39"/>
      <w:headerReference w:type="first" r:id="rId40"/>
      <w:footerReference w:type="first" r:id="rId41"/>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F3B38" w14:textId="77777777" w:rsidR="00562D7A" w:rsidRDefault="00562D7A">
      <w:pPr>
        <w:spacing w:after="0"/>
      </w:pPr>
      <w:r>
        <w:separator/>
      </w:r>
    </w:p>
  </w:endnote>
  <w:endnote w:type="continuationSeparator" w:id="0">
    <w:p w14:paraId="42B1227E" w14:textId="77777777" w:rsidR="00562D7A" w:rsidRDefault="00562D7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altName w:val="Courier New"/>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B2BDE" w14:textId="77777777" w:rsidR="00617D9B" w:rsidRDefault="00617D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7021" w14:textId="77777777"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DE11A4">
      <w:rPr>
        <w:b/>
        <w:noProof/>
        <w:color w:val="000000"/>
      </w:rPr>
      <w:t>2</w:t>
    </w:r>
    <w:r w:rsidR="00953902" w:rsidRPr="001D2396">
      <w:rPr>
        <w:b/>
        <w:color w:val="000000"/>
      </w:rPr>
      <w:fldChar w:fldCharType="end"/>
    </w:r>
    <w:r w:rsidR="00953902">
      <w:rPr>
        <w:noProof/>
        <w:lang w:val="en-US" w:eastAsia="en-US"/>
      </w:rPr>
      <w:drawing>
        <wp:anchor distT="0" distB="0" distL="0" distR="0" simplePos="0" relativeHeight="251659264" behindDoc="1" locked="0" layoutInCell="1" hidden="0" allowOverlap="1" wp14:anchorId="7A6E5562" wp14:editId="75CE8FAD">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59D50" w14:textId="77777777" w:rsidR="00617D9B" w:rsidRDefault="00617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ACF6D" w14:textId="77777777" w:rsidR="00562D7A" w:rsidRDefault="00562D7A">
      <w:pPr>
        <w:spacing w:after="0"/>
      </w:pPr>
      <w:r>
        <w:separator/>
      </w:r>
    </w:p>
  </w:footnote>
  <w:footnote w:type="continuationSeparator" w:id="0">
    <w:p w14:paraId="0A2EFC62" w14:textId="77777777" w:rsidR="00562D7A" w:rsidRDefault="00562D7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0EF5D" w14:textId="77777777" w:rsidR="00617D9B" w:rsidRDefault="00617D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95FE4"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lang w:val="en-US" w:eastAsia="en-US"/>
      </w:rPr>
      <w:drawing>
        <wp:anchor distT="0" distB="0" distL="114300" distR="114300" simplePos="0" relativeHeight="251660288" behindDoc="0" locked="0" layoutInCell="1" allowOverlap="1" wp14:anchorId="771DF5A4" wp14:editId="536590BC">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E0071" w14:textId="77777777" w:rsidR="00617D9B" w:rsidRDefault="00617D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9"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1"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3"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5"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6"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7"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369333322">
    <w:abstractNumId w:val="6"/>
  </w:num>
  <w:num w:numId="2" w16cid:durableId="881089179">
    <w:abstractNumId w:val="13"/>
  </w:num>
  <w:num w:numId="3" w16cid:durableId="517348671">
    <w:abstractNumId w:val="11"/>
  </w:num>
  <w:num w:numId="4" w16cid:durableId="235818832">
    <w:abstractNumId w:val="3"/>
  </w:num>
  <w:num w:numId="5" w16cid:durableId="1640725582">
    <w:abstractNumId w:val="20"/>
  </w:num>
  <w:num w:numId="6" w16cid:durableId="1282415473">
    <w:abstractNumId w:val="7"/>
  </w:num>
  <w:num w:numId="7" w16cid:durableId="1300844390">
    <w:abstractNumId w:val="26"/>
  </w:num>
  <w:num w:numId="8" w16cid:durableId="1939293048">
    <w:abstractNumId w:val="27"/>
  </w:num>
  <w:num w:numId="9" w16cid:durableId="1075129196">
    <w:abstractNumId w:val="9"/>
  </w:num>
  <w:num w:numId="10" w16cid:durableId="2146847524">
    <w:abstractNumId w:val="18"/>
  </w:num>
  <w:num w:numId="11" w16cid:durableId="1561090932">
    <w:abstractNumId w:val="24"/>
  </w:num>
  <w:num w:numId="12" w16cid:durableId="878857263">
    <w:abstractNumId w:val="23"/>
    <w:lvlOverride w:ilvl="0">
      <w:lvl w:ilvl="0">
        <w:numFmt w:val="lowerLetter"/>
        <w:lvlText w:val="%1."/>
        <w:lvlJc w:val="left"/>
      </w:lvl>
    </w:lvlOverride>
  </w:num>
  <w:num w:numId="13" w16cid:durableId="64649545">
    <w:abstractNumId w:val="12"/>
  </w:num>
  <w:num w:numId="14" w16cid:durableId="128208331">
    <w:abstractNumId w:val="4"/>
  </w:num>
  <w:num w:numId="15" w16cid:durableId="98764090">
    <w:abstractNumId w:val="2"/>
  </w:num>
  <w:num w:numId="16" w16cid:durableId="1314412143">
    <w:abstractNumId w:val="8"/>
  </w:num>
  <w:num w:numId="17" w16cid:durableId="353727982">
    <w:abstractNumId w:val="19"/>
  </w:num>
  <w:num w:numId="18" w16cid:durableId="1522008423">
    <w:abstractNumId w:val="1"/>
  </w:num>
  <w:num w:numId="19" w16cid:durableId="1868986495">
    <w:abstractNumId w:val="21"/>
  </w:num>
  <w:num w:numId="20" w16cid:durableId="76635349">
    <w:abstractNumId w:val="25"/>
  </w:num>
  <w:num w:numId="21" w16cid:durableId="456946585">
    <w:abstractNumId w:val="22"/>
  </w:num>
  <w:num w:numId="22" w16cid:durableId="1935897691">
    <w:abstractNumId w:val="14"/>
  </w:num>
  <w:num w:numId="23" w16cid:durableId="2050376327">
    <w:abstractNumId w:val="0"/>
  </w:num>
  <w:num w:numId="24" w16cid:durableId="46531676">
    <w:abstractNumId w:val="5"/>
  </w:num>
  <w:num w:numId="25" w16cid:durableId="1660617467">
    <w:abstractNumId w:val="17"/>
  </w:num>
  <w:num w:numId="26" w16cid:durableId="1784298856">
    <w:abstractNumId w:val="16"/>
  </w:num>
  <w:num w:numId="27" w16cid:durableId="1019891604">
    <w:abstractNumId w:val="10"/>
  </w:num>
  <w:num w:numId="28" w16cid:durableId="160310046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01320"/>
    <w:rsid w:val="000300B4"/>
    <w:rsid w:val="000971C7"/>
    <w:rsid w:val="00182BF8"/>
    <w:rsid w:val="001D2396"/>
    <w:rsid w:val="001F3288"/>
    <w:rsid w:val="00272743"/>
    <w:rsid w:val="00285C1E"/>
    <w:rsid w:val="00291367"/>
    <w:rsid w:val="002A0212"/>
    <w:rsid w:val="00335D48"/>
    <w:rsid w:val="00354E28"/>
    <w:rsid w:val="00377677"/>
    <w:rsid w:val="003B552D"/>
    <w:rsid w:val="003F3122"/>
    <w:rsid w:val="00405C52"/>
    <w:rsid w:val="0043435D"/>
    <w:rsid w:val="0045657D"/>
    <w:rsid w:val="00460FAE"/>
    <w:rsid w:val="004635F3"/>
    <w:rsid w:val="00465A3C"/>
    <w:rsid w:val="00476F3F"/>
    <w:rsid w:val="004E43BE"/>
    <w:rsid w:val="00500F71"/>
    <w:rsid w:val="00516A8C"/>
    <w:rsid w:val="00522D52"/>
    <w:rsid w:val="00562D7A"/>
    <w:rsid w:val="00593CC7"/>
    <w:rsid w:val="005F222C"/>
    <w:rsid w:val="00613269"/>
    <w:rsid w:val="0061467E"/>
    <w:rsid w:val="00617D9B"/>
    <w:rsid w:val="00657670"/>
    <w:rsid w:val="006644D0"/>
    <w:rsid w:val="006760B9"/>
    <w:rsid w:val="006E6267"/>
    <w:rsid w:val="006F02A2"/>
    <w:rsid w:val="00722F8D"/>
    <w:rsid w:val="00746C23"/>
    <w:rsid w:val="00755BB8"/>
    <w:rsid w:val="00762A1D"/>
    <w:rsid w:val="007E1D56"/>
    <w:rsid w:val="00842C2D"/>
    <w:rsid w:val="00854FB6"/>
    <w:rsid w:val="008B5C49"/>
    <w:rsid w:val="008D412A"/>
    <w:rsid w:val="008E43DF"/>
    <w:rsid w:val="00932644"/>
    <w:rsid w:val="00952CFD"/>
    <w:rsid w:val="00953902"/>
    <w:rsid w:val="00965E0E"/>
    <w:rsid w:val="00A20D6A"/>
    <w:rsid w:val="00AC431B"/>
    <w:rsid w:val="00AD7E07"/>
    <w:rsid w:val="00B06DE1"/>
    <w:rsid w:val="00B37808"/>
    <w:rsid w:val="00B94F1A"/>
    <w:rsid w:val="00BA509D"/>
    <w:rsid w:val="00BE3677"/>
    <w:rsid w:val="00BE5D4B"/>
    <w:rsid w:val="00BF51C6"/>
    <w:rsid w:val="00C357F1"/>
    <w:rsid w:val="00C43A9D"/>
    <w:rsid w:val="00C70F52"/>
    <w:rsid w:val="00CD25AA"/>
    <w:rsid w:val="00CF0754"/>
    <w:rsid w:val="00D01477"/>
    <w:rsid w:val="00D12740"/>
    <w:rsid w:val="00D41947"/>
    <w:rsid w:val="00D458F0"/>
    <w:rsid w:val="00D558A6"/>
    <w:rsid w:val="00D741FE"/>
    <w:rsid w:val="00D94C86"/>
    <w:rsid w:val="00DD046F"/>
    <w:rsid w:val="00DE11A4"/>
    <w:rsid w:val="00E502FF"/>
    <w:rsid w:val="00E854E5"/>
    <w:rsid w:val="00E9673F"/>
    <w:rsid w:val="00EA350A"/>
    <w:rsid w:val="00EB2BDE"/>
    <w:rsid w:val="00ED0227"/>
    <w:rsid w:val="00ED670E"/>
    <w:rsid w:val="00F11D5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7E2054"/>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Heading1">
    <w:name w:val="heading 1"/>
    <w:basedOn w:val="Normal"/>
    <w:link w:val="Heading1Ch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Heading2">
    <w:name w:val="heading 2"/>
    <w:basedOn w:val="Normal"/>
    <w:link w:val="Heading2Ch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Heading3">
    <w:name w:val="heading 3"/>
    <w:basedOn w:val="Normal"/>
    <w:next w:val="Normal"/>
    <w:link w:val="Heading3Ch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983682"/>
    <w:pPr>
      <w:tabs>
        <w:tab w:val="center" w:pos="4419"/>
        <w:tab w:val="right" w:pos="8838"/>
      </w:tabs>
      <w:spacing w:after="0"/>
    </w:pPr>
  </w:style>
  <w:style w:type="character" w:customStyle="1" w:styleId="HeaderChar">
    <w:name w:val="Header Char"/>
    <w:basedOn w:val="DefaultParagraphFont"/>
    <w:link w:val="Header"/>
    <w:uiPriority w:val="99"/>
    <w:rsid w:val="00983682"/>
  </w:style>
  <w:style w:type="paragraph" w:styleId="Footer">
    <w:name w:val="footer"/>
    <w:basedOn w:val="Normal"/>
    <w:link w:val="FooterChar"/>
    <w:uiPriority w:val="99"/>
    <w:unhideWhenUsed/>
    <w:rsid w:val="00983682"/>
    <w:pPr>
      <w:tabs>
        <w:tab w:val="center" w:pos="4419"/>
        <w:tab w:val="right" w:pos="8838"/>
      </w:tabs>
      <w:spacing w:after="0"/>
    </w:pPr>
  </w:style>
  <w:style w:type="character" w:customStyle="1" w:styleId="FooterChar">
    <w:name w:val="Footer Char"/>
    <w:basedOn w:val="DefaultParagraphFont"/>
    <w:link w:val="Footer"/>
    <w:uiPriority w:val="99"/>
    <w:rsid w:val="00983682"/>
  </w:style>
  <w:style w:type="character" w:customStyle="1" w:styleId="Heading1Char">
    <w:name w:val="Heading 1 Char"/>
    <w:basedOn w:val="DefaultParagraphFont"/>
    <w:link w:val="Heading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Heading2Char">
    <w:name w:val="Heading 2 Char"/>
    <w:basedOn w:val="DefaultParagraphFont"/>
    <w:link w:val="Heading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DefaultParagraphFont"/>
    <w:rsid w:val="00E161F5"/>
  </w:style>
  <w:style w:type="character" w:styleId="Hyperlink">
    <w:name w:val="Hyperlink"/>
    <w:basedOn w:val="DefaultParagraphFont"/>
    <w:uiPriority w:val="99"/>
    <w:unhideWhenUsed/>
    <w:rsid w:val="00E161F5"/>
    <w:rPr>
      <w:color w:val="0000FF"/>
      <w:u w:val="single"/>
    </w:rPr>
  </w:style>
  <w:style w:type="paragraph" w:styleId="ListParagraph">
    <w:name w:val="List Paragraph"/>
    <w:basedOn w:val="Normal"/>
    <w:uiPriority w:val="34"/>
    <w:qFormat/>
    <w:rsid w:val="00E161F5"/>
    <w:pPr>
      <w:ind w:left="720"/>
      <w:contextualSpacing/>
    </w:pPr>
  </w:style>
  <w:style w:type="character" w:customStyle="1" w:styleId="Heading3Char">
    <w:name w:val="Heading 3 Char"/>
    <w:basedOn w:val="DefaultParagraphFont"/>
    <w:link w:val="Heading3"/>
    <w:uiPriority w:val="9"/>
    <w:rsid w:val="002048F1"/>
    <w:rPr>
      <w:rFonts w:ascii="Poppins ExtraBold" w:eastAsiaTheme="majorEastAsia" w:hAnsi="Poppins ExtraBold" w:cstheme="majorBidi"/>
      <w:color w:val="FF0066"/>
      <w:sz w:val="28"/>
      <w:szCs w:val="24"/>
    </w:rPr>
  </w:style>
  <w:style w:type="character" w:styleId="Strong">
    <w:name w:val="Strong"/>
    <w:basedOn w:val="DefaultParagraphFont"/>
    <w:uiPriority w:val="22"/>
    <w:qFormat/>
    <w:rsid w:val="00C702A2"/>
    <w:rPr>
      <w:b/>
      <w:bCs/>
    </w:rPr>
  </w:style>
  <w:style w:type="character" w:styleId="Emphasis">
    <w:name w:val="Emphasis"/>
    <w:basedOn w:val="DefaultParagraphFont"/>
    <w:uiPriority w:val="20"/>
    <w:qFormat/>
    <w:rsid w:val="00EB1694"/>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paragraph" w:styleId="NoSpacing">
    <w:name w:val="No Spacing"/>
    <w:uiPriority w:val="1"/>
    <w:qFormat/>
    <w:rsid w:val="004E43BE"/>
    <w:pPr>
      <w:spacing w:after="0"/>
    </w:pPr>
  </w:style>
  <w:style w:type="table" w:styleId="TableGrid">
    <w:name w:val="Table Grid"/>
    <w:basedOn w:val="Table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styleId="UnresolvedMention">
    <w:name w:val="Unresolved Mention"/>
    <w:basedOn w:val="DefaultParagraphFont"/>
    <w:uiPriority w:val="99"/>
    <w:semiHidden/>
    <w:unhideWhenUsed/>
    <w:rsid w:val="00500F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944/ried.24.2.28994" TargetMode="External"/><Relationship Id="rId18" Type="http://schemas.openxmlformats.org/officeDocument/2006/relationships/hyperlink" Target="https://doi.org/10.69639/arandu.v12i1.751" TargetMode="External"/><Relationship Id="rId26" Type="http://schemas.openxmlformats.org/officeDocument/2006/relationships/hyperlink" Target="https://dx.doi.org/10.21703/rexe.v23i53.2658" TargetMode="External"/><Relationship Id="rId39" Type="http://schemas.openxmlformats.org/officeDocument/2006/relationships/footer" Target="footer2.xml"/><Relationship Id="rId21" Type="http://schemas.openxmlformats.org/officeDocument/2006/relationships/hyperlink" Target="https://doi.org/10.63969/n5vfnb23" TargetMode="External"/><Relationship Id="rId34" Type="http://schemas.openxmlformats.org/officeDocument/2006/relationships/hyperlink" Target="https://unesdoc.unesco.org/ark:/48223/pf0000379707"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32351/rca.v6.249" TargetMode="External"/><Relationship Id="rId20" Type="http://schemas.openxmlformats.org/officeDocument/2006/relationships/hyperlink" Target="https://dx.doi.org/10.4067/s0718-50062025000300035" TargetMode="External"/><Relationship Id="rId29" Type="http://schemas.openxmlformats.org/officeDocument/2006/relationships/hyperlink" Target="http://dx.doi.org/10.21503/hamu.v8i1.2232"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ctd.uic.cu/rctd/article/view/239" TargetMode="External"/><Relationship Id="rId24" Type="http://schemas.openxmlformats.org/officeDocument/2006/relationships/hyperlink" Target="https://doi.org/10.37843/rted.v16i1.332" TargetMode="External"/><Relationship Id="rId32" Type="http://schemas.openxmlformats.org/officeDocument/2006/relationships/hyperlink" Target="https://www.unesco.org/es/legal-affairs/recommendation-open-educational-resources-oer?hub=785"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doi.org/10.69639/arandu.v12i1.616" TargetMode="External"/><Relationship Id="rId23" Type="http://schemas.openxmlformats.org/officeDocument/2006/relationships/hyperlink" Target="https://doi.org/10.51528/rp.vol8.id2242" TargetMode="External"/><Relationship Id="rId28" Type="http://schemas.openxmlformats.org/officeDocument/2006/relationships/hyperlink" Target="https://doi.org/10.70881/mcj/v1/n4/25" TargetMode="External"/><Relationship Id="rId36" Type="http://schemas.openxmlformats.org/officeDocument/2006/relationships/header" Target="header1.xml"/><Relationship Id="rId10" Type="http://schemas.openxmlformats.org/officeDocument/2006/relationships/hyperlink" Target="https://doi.org/10.1016/j.engappai.2025.110135" TargetMode="External"/><Relationship Id="rId19" Type="http://schemas.openxmlformats.org/officeDocument/2006/relationships/hyperlink" Target="https://doi.org/10.56712/latam.v5i1.1641" TargetMode="External"/><Relationship Id="rId31" Type="http://schemas.openxmlformats.org/officeDocument/2006/relationships/hyperlink" Target="https://doi.org/10.33996/revistahorizontes.v8i33.778" TargetMode="External"/><Relationship Id="rId4" Type="http://schemas.openxmlformats.org/officeDocument/2006/relationships/styles" Target="styles.xml"/><Relationship Id="rId9" Type="http://schemas.openxmlformats.org/officeDocument/2006/relationships/hyperlink" Target="https://doi.org/10.25267/Hachetetepe.2021.i23.2205" TargetMode="External"/><Relationship Id="rId14" Type="http://schemas.openxmlformats.org/officeDocument/2006/relationships/hyperlink" Target="https://redclade.org/wp-content/uploads/Gobernanza-de-la-digitalizacion_03-07_1p.pdf" TargetMode="External"/><Relationship Id="rId22" Type="http://schemas.openxmlformats.org/officeDocument/2006/relationships/hyperlink" Target="https://doi.org/10.37811/cl_rcm.v8i4.13231" TargetMode="External"/><Relationship Id="rId27" Type="http://schemas.openxmlformats.org/officeDocument/2006/relationships/hyperlink" Target="https://www.redalyc.org/journal/447/44775742004/html/" TargetMode="External"/><Relationship Id="rId30" Type="http://schemas.openxmlformats.org/officeDocument/2006/relationships/hyperlink" Target="https://doi.org/10.5944/ried.26.1.33998" TargetMode="External"/><Relationship Id="rId35" Type="http://schemas.openxmlformats.org/officeDocument/2006/relationships/hyperlink" Target="https://doi.org/10.31637/epsir-2025-2075"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doi.org/10.69639/arandu.v12i1.631" TargetMode="External"/><Relationship Id="rId17" Type="http://schemas.openxmlformats.org/officeDocument/2006/relationships/hyperlink" Target="http://scielo.sld.cu/scielo.php?script=sci_arttext&amp;pid=S0864-21412021000400012&amp;lng=es&amp;tlng=es" TargetMode="External"/><Relationship Id="rId25" Type="http://schemas.openxmlformats.org/officeDocument/2006/relationships/hyperlink" Target="https://doi.org/10.33571/rpolitec.v16n31a8" TargetMode="External"/><Relationship Id="rId33" Type="http://schemas.openxmlformats.org/officeDocument/2006/relationships/hyperlink" Target="https://www.unesco.org/gem-report/sites/default/files/medias/fichiers/2023/07/7952%20UNESCO%20GEM%202023%20Summary_ES_Web.pdf"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780B440-03C1-4E58-A503-3CD0BD4E3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6</Pages>
  <Words>3271</Words>
  <Characters>18647</Characters>
  <Application>Microsoft Office Word</Application>
  <DocSecurity>0</DocSecurity>
  <Lines>155</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Gerardo Picon</cp:lastModifiedBy>
  <cp:revision>12</cp:revision>
  <dcterms:created xsi:type="dcterms:W3CDTF">2025-06-11T17:10:00Z</dcterms:created>
  <dcterms:modified xsi:type="dcterms:W3CDTF">2025-06-16T16:23:00Z</dcterms:modified>
</cp:coreProperties>
</file>