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04"/>
        <w:tblGridChange w:id="0">
          <w:tblGrid>
            <w:gridCol w:w="8504"/>
          </w:tblGrid>
        </w:tblGridChange>
      </w:tblGrid>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bookmarkStart w:colFirst="0" w:colLast="0" w:name="_heading=h.p6577axarm6n" w:id="0"/>
            <w:bookmarkEnd w:id="0"/>
            <w:r w:rsidDel="00000000" w:rsidR="00000000" w:rsidRPr="00000000">
              <w:rPr>
                <w:rFonts w:ascii="Arial" w:cs="Arial" w:eastAsia="Arial" w:hAnsi="Arial"/>
                <w:b w:val="1"/>
                <w:rtl w:val="0"/>
              </w:rPr>
              <w:t xml:space="preserve">INTEGRACIÓN DE TECNOLOGÍAS AL PROCESO DE ENSEÑANZA APRENDIZAJE DE LA INVESTIGACIÓN DE MERCADOS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LATORRE, MARÍA GABRIELA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gabriela.latorre@comunidad.unne.edu.ar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CHÁVEZ, ADRIANA ELIZABET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adriana.chavez@comunidad.unne.edu.ar</w:t>
            </w:r>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PERTENENCIA INSTITUCIONAL - UNNE. Facultad de Ciencias Económicas</w:t>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EJE 3 Reflexiones en torno a la educación con tecnologías en las Ciencias Económicas.</w:t>
            </w:r>
            <w:r w:rsidDel="00000000" w:rsidR="00000000" w:rsidRPr="00000000">
              <w:rPr>
                <w:rtl w:val="0"/>
              </w:rPr>
            </w:r>
          </w:p>
        </w:tc>
      </w:tr>
    </w:tbl>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before="200" w:lineRule="auto"/>
        <w:rPr>
          <w:rFonts w:ascii="Arial" w:cs="Arial" w:eastAsia="Arial" w:hAnsi="Arial"/>
        </w:rPr>
      </w:pPr>
      <w:r w:rsidDel="00000000" w:rsidR="00000000" w:rsidRPr="00000000">
        <w:rPr>
          <w:rFonts w:ascii="Arial" w:cs="Arial" w:eastAsia="Arial" w:hAnsi="Arial"/>
          <w:color w:val="000000"/>
          <w:rtl w:val="0"/>
        </w:rPr>
        <w:t xml:space="preserve">PALABRAS CLAVE</w:t>
      </w:r>
      <w:r w:rsidDel="00000000" w:rsidR="00000000" w:rsidRPr="00000000">
        <w:rPr>
          <w:rFonts w:ascii="Arial" w:cs="Arial" w:eastAsia="Arial" w:hAnsi="Arial"/>
          <w:rtl w:val="0"/>
        </w:rPr>
        <w:t xml:space="preserve"> - INNOVACIÓN DE PROCESOS - NUEVAS DEMANDAS PROFESIONALES - CAPACIDAD ANALÍTICA</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INTRODUCCIÓN</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La educación superior está viviendo una experiencia de transformación significativa impulsada por la evolución tecnológica y la creciente importancia de la Inteligencia Artificial (IA) que se presenta como una potencial herramienta para revolucionar los paradigmas de la educación, prometiendo innovar la forma en que se enseña y se aprende en el ámbito educativo.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Asimismo, la IA se ha consolidado como un avance fundamental en la gestión empresarial. Su habilidad para analizar grandes volúmenes de datos y prever tendencias permite a las empresas anticiparse a los cambios del mercado, facilitando así una respuesta ágil y efectiva ante las nuevas dinámicas del entorno.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En este sentido, y reconociendo las nuevas demandas profesionales de los licenciados en administración, fue necesario integrar tecnologías que son fundamentales para afrontar las actuales demandas del mercado laboral que incluyen mayor capacidad analítica en el tratamiento e interpretación de información de mercado. Esto se logra mediante el desarrollo de competencias esenciales tales como la alfabetización en datos, el pensamiento computacional y la capacidad de resolución de problemas.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La unidad curricular objeto de este estudio es Investigación de Mercados (IM), correspondiente al tramo profesional de la carrera Licenciatura en Administración de la Facultad de Ciencias Económicas (UNNE).</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Existen autores que tratan sobre esta relación academia - empresas, como Ponte de la Mata (2021, p.41) quien sostiene: “Otro encuentro importante hace referencia al desequilibrio entre los contenidos académicos de la IM y el perfil y práctica profesional que exigen, tanto las empresas especializadas en IM, como las empresas en general. Los resultados obtenidos indican que, entre tanto, la universidad dedica más tiempo a la formación en el diseño de trabajos de investigación, el sector profesional demanda personal con una mayor capacidad analítica, sea en el tratamiento o en la interpretación de los datos.”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Ante este escenario, es necesario readaptar la enseñanza de la IM en respuesta a las nuevas demandas del mercado laboral. En este sentido, el presente trabajo relata experiencias en el aula que implicaron la incorporación del uso de tecnologías.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La inclusión de las mismas significó un desafío desde la perspectiva docente ya que, aunque la tecnología promete optimizar la enseñanza y el aprendizaje, como menciona Moreno (2019) también plantea cuestionamientos sobre cómo los docentes asimilan y se adaptan a estos cambios.</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OBJETIVOS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Compartir experiencias sobre la implementación de propuestas pedagógicas dentro de la unidad curricular Investigación de Mercados a nivel de grado, en dos líneas: el uso de recursos de inteligencia artificial en las distintas etapas del proceso de investigación y softwares con lenguaje de programación para el análisis de datos cualitativos y cuantitativos.</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MATERIALES Y MÉTODOS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En la propuesta pedagógica se implementaron dos líneas de trabajo: (1) la utilización de recursos de inteligencia artificial en algunas de las etapas del proceso de investigación, y (2) softwares con lenguaje de programación para el análisis de datos.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Llevar adelante la primera propuesta implicó, como docentes, capacitarnos sobre IA en educación para poder identificar estrategias de enseñanza aprendizaje con la incorporación de misma. En consecuencia, se propusieron actividades que incluían el uso de estas herramientas y la reflexión sobre sus implicancias éticas en temas como fuentes de datos secundarios, técnicas cuantitativas de recolección de datos, análisis y comunicación de resultados. Se utilizaron guías de actividades para identificar consignas y formas de trabajo. Las actividades fueron evaluadas a través de rúbricas.</w:t>
      </w:r>
    </w:p>
    <w:p w:rsidR="00000000" w:rsidDel="00000000" w:rsidP="00000000" w:rsidRDefault="00000000" w:rsidRPr="00000000" w14:paraId="00000018">
      <w:pPr>
        <w:spacing w:after="0" w:lineRule="auto"/>
        <w:rPr>
          <w:rFonts w:ascii="Arial" w:cs="Arial" w:eastAsia="Arial" w:hAnsi="Arial"/>
          <w:b w:val="1"/>
        </w:rPr>
      </w:pPr>
      <w:r w:rsidDel="00000000" w:rsidR="00000000" w:rsidRPr="00000000">
        <w:rPr>
          <w:rFonts w:ascii="Arial" w:cs="Arial" w:eastAsia="Arial" w:hAnsi="Arial"/>
          <w:b w:val="1"/>
          <w:rtl w:val="0"/>
        </w:rPr>
        <w:t xml:space="preserve">Tabla 1. Incorporación de recursos de IA en diversas etapas del proceso</w:t>
      </w:r>
    </w:p>
    <w:tbl>
      <w:tblPr>
        <w:tblStyle w:val="Table2"/>
        <w:tblW w:w="865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30"/>
        <w:gridCol w:w="4770"/>
        <w:gridCol w:w="1755"/>
        <w:tblGridChange w:id="0">
          <w:tblGrid>
            <w:gridCol w:w="2130"/>
            <w:gridCol w:w="4770"/>
            <w:gridCol w:w="1755"/>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19">
            <w:pPr>
              <w:widowControl w:val="0"/>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Tema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A">
            <w:pPr>
              <w:widowControl w:val="0"/>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B">
            <w:pPr>
              <w:widowControl w:val="0"/>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IA utilizadas por los estudiantes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1C">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IA y su relación con ética de la profesión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D">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Lectura, análisis y puesta en común de artículos</w:t>
            </w:r>
          </w:p>
          <w:p w:rsidR="00000000" w:rsidDel="00000000" w:rsidP="00000000" w:rsidRDefault="00000000" w:rsidRPr="00000000" w14:paraId="0000001E">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referidos a esta temática.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F">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0">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Fuentes de datos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1">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Identificar tres fuentes secundarias de datos válidas para obtener información relevante del mercado de cerveza artesanal.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2">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Chat GPT</w:t>
            </w:r>
          </w:p>
          <w:p w:rsidR="00000000" w:rsidDel="00000000" w:rsidP="00000000" w:rsidRDefault="00000000" w:rsidRPr="00000000" w14:paraId="00000023">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Perplexity</w:t>
            </w:r>
          </w:p>
          <w:p w:rsidR="00000000" w:rsidDel="00000000" w:rsidP="00000000" w:rsidRDefault="00000000" w:rsidRPr="00000000" w14:paraId="00000024">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Notebook LM</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5">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Técnicas cuantitativas de recolección de datos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6">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Mejora de cuestionario: (1) Revisar y proponer de qué manera podrían mejorarse (tradicional) (2) Solicitar a la IA una propuesta de mejora de la encuesta reelaborada (incluir prompts).Identificar qué preguntas agregan y cuáles desechan.</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7">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Chat GPT</w:t>
            </w:r>
          </w:p>
          <w:p w:rsidR="00000000" w:rsidDel="00000000" w:rsidP="00000000" w:rsidRDefault="00000000" w:rsidRPr="00000000" w14:paraId="00000028">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Gemini</w:t>
            </w:r>
          </w:p>
          <w:p w:rsidR="00000000" w:rsidDel="00000000" w:rsidP="00000000" w:rsidRDefault="00000000" w:rsidRPr="00000000" w14:paraId="00000029">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Small PDF</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A">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Análisis de datos y comunicación de resultados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B">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Convertir un Informe técnico en un “Informe para directivos” teniendo en cuenta sus características. Utilizar tecnología e IA para analizar, resumir y presentar estos informes. Incluir como anexo cuáles fueron las que usaron y qué aportó cada una de ellas.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C">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Notebook LM</w:t>
            </w:r>
          </w:p>
          <w:p w:rsidR="00000000" w:rsidDel="00000000" w:rsidP="00000000" w:rsidRDefault="00000000" w:rsidRPr="00000000" w14:paraId="0000002D">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Gamma</w:t>
            </w:r>
          </w:p>
          <w:p w:rsidR="00000000" w:rsidDel="00000000" w:rsidP="00000000" w:rsidRDefault="00000000" w:rsidRPr="00000000" w14:paraId="0000002E">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Deep Seek</w:t>
            </w:r>
          </w:p>
          <w:p w:rsidR="00000000" w:rsidDel="00000000" w:rsidP="00000000" w:rsidRDefault="00000000" w:rsidRPr="00000000" w14:paraId="0000002F">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Canva con IA</w:t>
            </w:r>
          </w:p>
        </w:tc>
      </w:tr>
    </w:tbl>
    <w:p w:rsidR="00000000" w:rsidDel="00000000" w:rsidP="00000000" w:rsidRDefault="00000000" w:rsidRPr="00000000" w14:paraId="00000030">
      <w:pPr>
        <w:spacing w:after="0" w:lineRule="auto"/>
        <w:ind w:left="72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Fuente: elaboración propia</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segunda propuesta consistió en la etapa de análisis de datos y exposición de resultados, y dada la innovación y la complejidad de los recursos puestos en juego, fue necesario convocar a una profesional licenciada en sistemas y especialista en marketing para formar un equipo interdisciplinario y llevar adelante este proyecto. En este caso, se trabajó en primer lugar con Jupyter Notebooks (con Python) en el análisis y visualización de una base de datos, generando un informe de datos cuantitativos. En segundo lugar, se utilizó Google Colab (con Python) con datos proveniente de un focus group, para el análisis y producción de un informe de datos cualitativos. Los estudiantes desarrollaron ambas propuestas de manera grupal.</w:t>
      </w:r>
    </w:p>
    <w:p w:rsidR="00000000" w:rsidDel="00000000" w:rsidP="00000000" w:rsidRDefault="00000000" w:rsidRPr="00000000" w14:paraId="00000032">
      <w:pPr>
        <w:spacing w:after="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33">
      <w:pPr>
        <w:spacing w:after="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34">
      <w:pPr>
        <w:spacing w:after="0" w:lineRule="auto"/>
        <w:rPr>
          <w:rFonts w:ascii="Arial" w:cs="Arial" w:eastAsia="Arial" w:hAnsi="Arial"/>
        </w:rPr>
      </w:pPr>
      <w:r w:rsidDel="00000000" w:rsidR="00000000" w:rsidRPr="00000000">
        <w:rPr>
          <w:rFonts w:ascii="Arial" w:cs="Arial" w:eastAsia="Arial" w:hAnsi="Arial"/>
          <w:b w:val="1"/>
          <w:rtl w:val="0"/>
        </w:rPr>
        <w:t xml:space="preserve">Tabla 2. Tipos de informes, recursos y productos obtenidos</w:t>
      </w:r>
      <w:r w:rsidDel="00000000" w:rsidR="00000000" w:rsidRPr="00000000">
        <w:rPr>
          <w:rtl w:val="0"/>
        </w:rPr>
      </w:r>
    </w:p>
    <w:sdt>
      <w:sdtPr>
        <w:lock w:val="contentLocked"/>
        <w:id w:val="1786032475"/>
        <w:tag w:val="goog_rdk_0"/>
      </w:sdtPr>
      <w:sdtContent>
        <w:tbl>
          <w:tblPr>
            <w:tblStyle w:val="Table3"/>
            <w:tblW w:w="8730.0" w:type="dxa"/>
            <w:jc w:val="left"/>
            <w:tblInd w:w="13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3585"/>
            <w:gridCol w:w="660"/>
            <w:gridCol w:w="3105"/>
            <w:tblGridChange w:id="0">
              <w:tblGrid>
                <w:gridCol w:w="1380"/>
                <w:gridCol w:w="3585"/>
                <w:gridCol w:w="660"/>
                <w:gridCol w:w="3105"/>
              </w:tblGrid>
            </w:tblGridChange>
          </w:tblGrid>
          <w:tr>
            <w:trPr>
              <w:cantSplit w:val="0"/>
              <w:trHeight w:val="36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5">
                <w:pPr>
                  <w:widowControl w:val="0"/>
                  <w:spacing w:after="0" w:lineRule="auto"/>
                  <w:jc w:val="center"/>
                  <w:rPr>
                    <w:rFonts w:ascii="Arial" w:cs="Arial" w:eastAsia="Arial" w:hAnsi="Arial"/>
                    <w:b w:val="1"/>
                    <w:sz w:val="20"/>
                    <w:szCs w:val="20"/>
                  </w:rPr>
                </w:pPr>
                <w:r w:rsidDel="00000000" w:rsidR="00000000" w:rsidRPr="00000000">
                  <w:rPr>
                    <w:rFonts w:ascii="Arial" w:cs="Arial" w:eastAsia="Arial" w:hAnsi="Arial"/>
                    <w:b w:val="1"/>
                    <w:rtl w:val="0"/>
                  </w:rPr>
                  <w:t xml:space="preserve">Informe</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6">
                <w:pPr>
                  <w:widowControl w:val="0"/>
                  <w:spacing w:after="0" w:lineRule="auto"/>
                  <w:jc w:val="center"/>
                  <w:rPr>
                    <w:rFonts w:ascii="Arial" w:cs="Arial" w:eastAsia="Arial" w:hAnsi="Arial"/>
                    <w:b w:val="1"/>
                  </w:rPr>
                </w:pPr>
                <w:r w:rsidDel="00000000" w:rsidR="00000000" w:rsidRPr="00000000">
                  <w:rPr>
                    <w:rFonts w:ascii="Arial" w:cs="Arial" w:eastAsia="Arial" w:hAnsi="Arial"/>
                    <w:b w:val="1"/>
                    <w:rtl w:val="0"/>
                  </w:rPr>
                  <w:t xml:space="preserve">Software</w:t>
                </w:r>
              </w:p>
            </w:tc>
            <w:tc>
              <w:tcPr>
                <w:gridSpan w:val="2"/>
                <w:shd w:fill="auto" w:val="clear"/>
                <w:tcMar>
                  <w:top w:w="100.0" w:type="dxa"/>
                  <w:left w:w="100.0" w:type="dxa"/>
                  <w:bottom w:w="100.0" w:type="dxa"/>
                  <w:right w:w="100.0" w:type="dxa"/>
                </w:tcMar>
              </w:tcPr>
              <w:p w:rsidR="00000000" w:rsidDel="00000000" w:rsidP="00000000" w:rsidRDefault="00000000" w:rsidRPr="00000000" w14:paraId="00000037">
                <w:pPr>
                  <w:widowControl w:val="0"/>
                  <w:spacing w:after="0" w:lineRule="auto"/>
                  <w:jc w:val="center"/>
                  <w:rPr>
                    <w:rFonts w:ascii="Arial" w:cs="Arial" w:eastAsia="Arial" w:hAnsi="Arial"/>
                    <w:b w:val="1"/>
                  </w:rPr>
                </w:pPr>
                <w:r w:rsidDel="00000000" w:rsidR="00000000" w:rsidRPr="00000000">
                  <w:rPr>
                    <w:rFonts w:ascii="Arial" w:cs="Arial" w:eastAsia="Arial" w:hAnsi="Arial"/>
                    <w:b w:val="1"/>
                    <w:rtl w:val="0"/>
                  </w:rPr>
                  <w:t xml:space="preserve">Productos más destacados</w:t>
                </w:r>
              </w:p>
            </w:tc>
          </w:tr>
          <w:tr>
            <w:trPr>
              <w:cantSplit w:val="0"/>
              <w:trHeight w:val="83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spacing w:after="0" w:lineRule="auto"/>
                  <w:ind w:right="-105.59055118110223"/>
                  <w:rPr>
                    <w:rFonts w:ascii="Arial" w:cs="Arial" w:eastAsia="Arial" w:hAnsi="Arial"/>
                    <w:sz w:val="20"/>
                    <w:szCs w:val="20"/>
                  </w:rPr>
                </w:pPr>
                <w:r w:rsidDel="00000000" w:rsidR="00000000" w:rsidRPr="00000000">
                  <w:rPr>
                    <w:rFonts w:ascii="Arial" w:cs="Arial" w:eastAsia="Arial" w:hAnsi="Arial"/>
                    <w:sz w:val="20"/>
                    <w:szCs w:val="20"/>
                    <w:rtl w:val="0"/>
                  </w:rPr>
                  <w:t xml:space="preserve">Análisis exploratorio de datos cuantitativos</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spacing w:after="0" w:lineRule="auto"/>
                  <w:rPr>
                    <w:rFonts w:ascii="Arial" w:cs="Arial" w:eastAsia="Arial" w:hAnsi="Arial"/>
                    <w:sz w:val="20"/>
                    <w:szCs w:val="20"/>
                  </w:rPr>
                </w:pPr>
                <w:r w:rsidDel="00000000" w:rsidR="00000000" w:rsidRPr="00000000">
                  <w:rPr>
                    <w:rFonts w:ascii="Arial" w:cs="Arial" w:eastAsia="Arial" w:hAnsi="Arial"/>
                    <w:i w:val="1"/>
                    <w:sz w:val="20"/>
                    <w:szCs w:val="20"/>
                    <w:rtl w:val="0"/>
                  </w:rPr>
                  <w:t xml:space="preserve">Anaconda - Jupyter Notebooks (con Python)</w:t>
                </w:r>
                <w:r w:rsidDel="00000000" w:rsidR="00000000" w:rsidRPr="00000000">
                  <w:rPr>
                    <w:rtl w:val="0"/>
                  </w:rPr>
                </w:r>
              </w:p>
              <w:p w:rsidR="00000000" w:rsidDel="00000000" w:rsidP="00000000" w:rsidRDefault="00000000" w:rsidRPr="00000000" w14:paraId="0000003B">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Material: Base de 400 encuestas a consumidores de cerveza artesanal (julio de 2024). Se asignaron submuestras a cada equipo según: edad, tipo de encuesta y enfoque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3C">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 Informes en formato Notebook, con celdas de código y Markdown para estructurar la información. Todos los informes incluyeron: Visualizaciones. Análisis univariado de variables numéricas y categóricas. Análisis bivariado (incluyendo variables dummy)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E">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Análisis exploratorio de datos cualitativos</w:t>
                </w:r>
              </w:p>
              <w:p w:rsidR="00000000" w:rsidDel="00000000" w:rsidP="00000000" w:rsidRDefault="00000000" w:rsidRPr="00000000" w14:paraId="0000003F">
                <w:pPr>
                  <w:widowControl w:val="0"/>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widowControl w:val="0"/>
                  <w:spacing w:after="0" w:lineRule="auto"/>
                  <w:rPr>
                    <w:rFonts w:ascii="Arial" w:cs="Arial" w:eastAsia="Arial" w:hAnsi="Arial"/>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spacing w:after="0" w:lineRule="auto"/>
                  <w:rPr>
                    <w:rFonts w:ascii="Arial" w:cs="Arial" w:eastAsia="Arial" w:hAnsi="Arial"/>
                    <w:sz w:val="20"/>
                    <w:szCs w:val="20"/>
                  </w:rPr>
                </w:pPr>
                <w:r w:rsidDel="00000000" w:rsidR="00000000" w:rsidRPr="00000000">
                  <w:rPr>
                    <w:rFonts w:ascii="Arial" w:cs="Arial" w:eastAsia="Arial" w:hAnsi="Arial"/>
                    <w:i w:val="1"/>
                    <w:sz w:val="20"/>
                    <w:szCs w:val="20"/>
                    <w:rtl w:val="0"/>
                  </w:rPr>
                  <w:t xml:space="preserve">Google Colab (con Python)</w:t>
                </w:r>
                <w:r w:rsidDel="00000000" w:rsidR="00000000" w:rsidRPr="00000000">
                  <w:rPr>
                    <w:rtl w:val="0"/>
                  </w:rPr>
                </w:r>
              </w:p>
              <w:p w:rsidR="00000000" w:rsidDel="00000000" w:rsidP="00000000" w:rsidRDefault="00000000" w:rsidRPr="00000000" w14:paraId="00000042">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Material: Base .csv con las transcripciones del Focus Group realizado en la ciudad de Corrientes (abril 2024)</w:t>
                </w:r>
              </w:p>
            </w:tc>
            <w:tc>
              <w:tcPr>
                <w:gridSpan w:val="2"/>
                <w:shd w:fill="auto" w:val="clear"/>
                <w:tcMar>
                  <w:top w:w="100.0" w:type="dxa"/>
                  <w:left w:w="100.0" w:type="dxa"/>
                  <w:bottom w:w="100.0" w:type="dxa"/>
                  <w:right w:w="100.0" w:type="dxa"/>
                </w:tcMar>
              </w:tcPr>
              <w:p w:rsidR="00000000" w:rsidDel="00000000" w:rsidP="00000000" w:rsidRDefault="00000000" w:rsidRPr="00000000" w14:paraId="00000043">
                <w:pPr>
                  <w:widowControl w:val="0"/>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 Informes en Google Colab, con celdas de código y Markdown para estructurar la información. Todos los informes incluyeron análisis de los principales temas, comparación entre codificación manual y con código Python. Emociones predominantes. Dinámica grupal observada y por participante. Visualizaciones</w:t>
                </w:r>
              </w:p>
            </w:tc>
          </w:tr>
        </w:tbl>
      </w:sdtContent>
    </w:sdt>
    <w:p w:rsidR="00000000" w:rsidDel="00000000" w:rsidP="00000000" w:rsidRDefault="00000000" w:rsidRPr="00000000" w14:paraId="00000045">
      <w:pPr>
        <w:spacing w:after="0" w:lineRule="auto"/>
        <w:ind w:left="720" w:firstLine="0"/>
        <w:jc w:val="center"/>
        <w:rPr>
          <w:rFonts w:ascii="Arial" w:cs="Arial" w:eastAsia="Arial" w:hAnsi="Arial"/>
          <w:highlight w:val="white"/>
        </w:rPr>
      </w:pPr>
      <w:r w:rsidDel="00000000" w:rsidR="00000000" w:rsidRPr="00000000">
        <w:rPr>
          <w:rFonts w:ascii="Arial" w:cs="Arial" w:eastAsia="Arial" w:hAnsi="Arial"/>
          <w:sz w:val="20"/>
          <w:szCs w:val="20"/>
          <w:rtl w:val="0"/>
        </w:rPr>
        <w:t xml:space="preserve">Fuente: elaboración propia </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RESULTADOS Y DISCUSIÓN</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Desde el rol del estudiante: Aprender a interpretar y analizar datos les permitió evaluar información con criterio, y enfocarse en el aprendizaje activo combinando estadística, programación y análisis de problemas reales con trabajo colaborativo. Desde una mirada sobre las competencias adquiridas, lograron en primer lugar, habilidades técnicas que surgen de la aplicación de herramientas IA para el mejoramiento de la capacidad analítica y digital, útiles para el análisis del contexto y el mercado, diseño de instrumentos de captura de datos, análisis e interpretación de datos cuantitativos y cualitativos y redacción de informes; a este se suman las habilidades blandas, basadas en el mejoramiento de la capacidad de investigación,el pensamiento crítico, el trabajo colaborativo en equipo y el apoyo para una efectiva comunicación oral de resultados.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Desde el rol del docente: Las nuevas demandas que presenta el mercado laboral hace necesario readaptar la enseñanza de la IM. Este cambio de paradigma nos obliga a nuevas formaciones que integren la IA en la docencia universitaria y esto no es un proceso exento de desafíos. Aunque la tecnología promete optimizar la enseñanza y el aprendizaje, también plantea cuestionamientos fundamentales sobre cómo los docentes asimilan y se adaptan a estos cambios (Moreno, 2019).</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Desde el papel de las herramientas digitales: Los resultados obtenidos demostraron la importancia y el potencial que tiene la incorporación de los recursos digitales, no como un sustituto del conocimiento y de la experiencia de quienes guían el proceso de investigación, sino como soporte de dichas actividades para los potenciales profesionales. Especialmente con el apoyo de la programación para procesar y analizar datos y convertirlos en información útil y pertinente, tal el caso de Python y su ecosistema de librerías, preparados para resolver problemas complejos de una manera accesible y eficaz</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CONCLUSIONES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integración de herramientas IA en las aulas se ha convertido en una necesidad que requiere que todos los actores involucrados, estudiantes, docentes e institución educativa, se encuentren abiertos a las oportunidades que brindan. Su utilización adecuada y responsable enriquece la enseñanza y mejora la eficiencia institucional universitaria, ya que abre caminos para desarrollar métodos pedagógicos más eficaces y responder de manera más ágil a los desafíos educativos contemporáneos  (Fajardo Aguilar, 2023).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Sin embargo, no puede dejar de pensarse en el rol que debe tener el docente para enseñar a trabajar con estas nuevas habilidades o al menos, trabajar en la capacidad de utilizar la IA, las fake-news o los «deep-fakes» (Ibrahim, 2021 en Carballo, 2025, p.10) para tener una sociedad crítica de estas tecnologías y con la capacidad de poder discernir aquello que es falso de aquello que no lo es (Carballo, 2025, p.10). Su inclusión requiere de capacitación específica para adaptarse a los cambios que de ellas derivan en el proceso educativo.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En la actualidad, está demostrado que la IA no puede reemplazar los métodos de enseñanza, pero los complementa. Por lo cual el desafío está en cómo los docentes implementan estas herramientas y desarrollan competencias que permitan a los estudiantes interactuar con la tecnología (Jara y Ochoa, 2020). Y, algo muy importante, preguntarse sobre el propósito de su uso -¿para qué?-.(Carballo, 2025, p.10).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Esto nos obliga a replantearnos el enfoque de las prácticas solicitadas, desarrollar actividades más reflexivas, conversar con la tecnología, interpelarla.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En síntesis, nos encontramos frente a varios desafíos. Por un lado, encontrar el equilibrio entre la colaboración humano-tecnológica que permita potenciar las producciones académicas, siempre con la mirada crítica de quien emplea la herramienta. Por otro lado, construir verdaderas competencias pedagógicas orientadas a construir el pensamiento crítico; en este sentido, se ha observado el potencial que tiene la incorporación de los recursos digitales, no como un sustituto del conocimiento y de la experiencia de quienes guían el proceso de investigación, sino como soporte de dichas actividades. Asimismo, se ha constatado que la creatividad de los estudiantes en el uso de estas herramientas aumenta cuando las consignas son más flexibles, lo que subraya la importancia de un enfoque educativo adaptable y reflexivo.</w:t>
      </w:r>
      <w:r w:rsidDel="00000000" w:rsidR="00000000" w:rsidRPr="00000000">
        <w:rPr>
          <w:rtl w:val="0"/>
        </w:rPr>
      </w:r>
    </w:p>
    <w:p w:rsidR="00000000" w:rsidDel="00000000" w:rsidP="00000000" w:rsidRDefault="00000000" w:rsidRPr="00000000" w14:paraId="00000052">
      <w:pPr>
        <w:spacing w:after="0" w:before="48.00000000000001"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REFERENCIAS BIBLIOGRÁFICAS</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Carballo, A. G. (2025). La inclusión de la inteligencia artificial en la educación: ¿un golem educativo o un leviatán algorítmico? El Cardo, (21).DOI: 10.33255/18511562/2170 https://shorturl.at/VVYFx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Fajardo Aguilar , G. M., Ayala Gavilanes , D. C., Arroba Freire , E. M., &amp; López Quincha , M. (2023). Inteligencia Artificial y la Educación Universitaria: Una revisión sistemática. Magazine De Las Ciencias: Revista De Investigación E Innovación, 8 (1), 109–131. https://doi.org/10.33262/rmc.v8i1.2935</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Moreno, R. (2019). La llegada de la inteligencia artificial a la educación. Revista de Investigación en Tecnologías de la Información, 7(14), 260-270. https://doi.org/https://doi.org/10.36825/RITI.07.14.022</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Ponte de la Mata, D. (2021). Los cambios TIC en la investigación de mercados: una perspectiva internacional (Bachelor's thesis). https://shorturl.at/LHkfd</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Inclusión de la inteligencia artificial en la docencia universitaria https://dialnet.unirioja.es/servlet/articulo?codigo=9540806</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Rodríguez, M., Rubio, A., Ligán, A., Rubio, D., Bocanegra, J., &amp; Flores, J. (2023). Inteligencia Artificial en la educación digital y los resultados de la valoración del aprendizaje. Editorial Mar Caribe. https://doi.org/https://doi.org/10.31219/osf.io/c3pmd</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Simonato, Mori (2022) Las Competencias Exponenciales de los Futuros Graduados en Ciencias Económicas. El Caso de los Estudiantes de la Universidad de Buenos Aires y de la Universidad Nacional de La Plata. https://sedici.unlp.edu.ar/bitstream/handle/10915/166005/Documento_completo.pdf-PDFA.pdf?sequence=1</w:t>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18" w:top="2268" w:left="1701" w:right="155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ExtraBold">
    <w:embedBold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center" w:leader="none" w:pos="4419"/>
        <w:tab w:val="right" w:leader="none" w:pos="8838"/>
      </w:tabs>
      <w:spacing w:after="0" w:lineRule="auto"/>
      <w:ind w:right="-285"/>
      <w:jc w:val="right"/>
      <w:rPr>
        <w:color w:val="000000"/>
      </w:rPr>
    </w:pPr>
    <w:r w:rsidDel="00000000" w:rsidR="00000000" w:rsidRPr="00000000">
      <w:rPr>
        <w:color w:val="000000"/>
        <w:highlight w:val="white"/>
        <w:rtl w:val="0"/>
      </w:rPr>
      <w:t xml:space="preserve">   Trabajo extendido </w:t>
    </w:r>
    <w:r w:rsidDel="00000000" w:rsidR="00000000" w:rsidRPr="00000000">
      <w:rPr>
        <w:color w:val="000000"/>
        <w:rtl w:val="0"/>
      </w:rPr>
      <w:t xml:space="preserve">-</w:t>
    </w:r>
    <w:r w:rsidDel="00000000" w:rsidR="00000000" w:rsidRPr="00000000">
      <w:rPr>
        <w:b w:val="1"/>
        <w:color w:val="000000"/>
        <w:rtl w:val="0"/>
      </w:rPr>
      <w:t xml:space="preserve"> </w:t>
    </w:r>
    <w:r w:rsidDel="00000000" w:rsidR="00000000" w:rsidRPr="00000000">
      <w:rPr>
        <w:b w:val="1"/>
        <w:color w:val="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-165733</wp:posOffset>
          </wp:positionH>
          <wp:positionV relativeFrom="paragraph">
            <wp:posOffset>45085</wp:posOffset>
          </wp:positionV>
          <wp:extent cx="5534025" cy="140335"/>
          <wp:effectExtent b="0" l="0" r="0" t="0"/>
          <wp:wrapNone/>
          <wp:docPr id="21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34025" cy="140335"/>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center" w:leader="none" w:pos="4419"/>
        <w:tab w:val="right" w:leader="none" w:pos="8838"/>
        <w:tab w:val="left" w:leader="none" w:pos="1985"/>
      </w:tabs>
      <w:spacing w:after="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-838199</wp:posOffset>
          </wp:positionH>
          <wp:positionV relativeFrom="paragraph">
            <wp:posOffset>-250189</wp:posOffset>
          </wp:positionV>
          <wp:extent cx="1476375" cy="704867"/>
          <wp:effectExtent b="0" l="0" r="0" t="0"/>
          <wp:wrapNone/>
          <wp:docPr descr="C:\Users\UV-LUCIANA\AppData\Local\Microsoft\Windows\INetCache\Content.Word\anuncio cambio de fecha-29.jpg" id="213" name="image2.jpg"/>
          <a:graphic>
            <a:graphicData uri="http://schemas.openxmlformats.org/drawingml/2006/picture">
              <pic:pic>
                <pic:nvPicPr>
                  <pic:cNvPr descr="C:\Users\UV-LUCIANA\AppData\Local\Microsoft\Windows\INetCache\Content.Word\anuncio cambio de fecha-29.jpg" id="0" name="image2.jpg"/>
                  <pic:cNvPicPr preferRelativeResize="0"/>
                </pic:nvPicPr>
                <pic:blipFill>
                  <a:blip r:embed="rId1"/>
                  <a:srcRect b="0" l="0" r="0" t="0"/>
                  <a:stretch>
                    <a:fillRect/>
                  </a:stretch>
                </pic:blipFill>
                <pic:spPr>
                  <a:xfrm>
                    <a:off x="0" y="0"/>
                    <a:ext cx="1476375" cy="7048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oppins" w:cs="Poppins" w:eastAsia="Poppins" w:hAnsi="Poppins"/>
        <w:sz w:val="22"/>
        <w:szCs w:val="22"/>
        <w:lang w:val="es-AR"/>
      </w:rPr>
    </w:rPrDefault>
    <w:pPrDefault>
      <w:pPr>
        <w:spacing w:after="24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360" w:before="480" w:line="400" w:lineRule="auto"/>
    </w:pPr>
    <w:rPr>
      <w:rFonts w:ascii="Poppins ExtraBold" w:cs="Poppins ExtraBold" w:eastAsia="Poppins ExtraBold" w:hAnsi="Poppins ExtraBold"/>
      <w:b w:val="1"/>
      <w:color w:val="0070c0"/>
      <w:sz w:val="36"/>
      <w:szCs w:val="36"/>
    </w:rPr>
  </w:style>
  <w:style w:type="paragraph" w:styleId="Heading2">
    <w:name w:val="heading 2"/>
    <w:basedOn w:val="Normal"/>
    <w:next w:val="Normal"/>
    <w:pPr>
      <w:pBdr>
        <w:bottom w:color="92d050" w:space="1" w:sz="4" w:val="single"/>
      </w:pBdr>
      <w:spacing w:before="240" w:lineRule="auto"/>
    </w:pPr>
    <w:rPr>
      <w:rFonts w:ascii="Poppins Medium" w:cs="Poppins Medium" w:eastAsia="Poppins Medium" w:hAnsi="Poppins Medium"/>
      <w:b w:val="1"/>
      <w:color w:val="0070c0"/>
      <w:sz w:val="28"/>
      <w:szCs w:val="28"/>
    </w:rPr>
  </w:style>
  <w:style w:type="paragraph" w:styleId="Heading3">
    <w:name w:val="heading 3"/>
    <w:basedOn w:val="Normal"/>
    <w:next w:val="Normal"/>
    <w:pPr>
      <w:keepNext w:val="1"/>
      <w:keepLines w:val="1"/>
      <w:spacing w:before="40" w:lineRule="auto"/>
    </w:pPr>
    <w:rPr>
      <w:rFonts w:ascii="Poppins ExtraBold" w:cs="Poppins ExtraBold" w:eastAsia="Poppins ExtraBold" w:hAnsi="Poppins ExtraBold"/>
      <w:color w:val="ff0066"/>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983682"/>
    <w:pPr>
      <w:tabs>
        <w:tab w:val="center" w:pos="4419"/>
        <w:tab w:val="right" w:pos="8838"/>
      </w:tabs>
      <w:spacing w:after="0"/>
    </w:pPr>
  </w:style>
  <w:style w:type="character" w:styleId="EncabezadoCar" w:customStyle="1">
    <w:name w:val="Encabezado Car"/>
    <w:basedOn w:val="Fuentedeprrafopredeter"/>
    <w:link w:val="Encabezado"/>
    <w:uiPriority w:val="99"/>
    <w:rsid w:val="00983682"/>
  </w:style>
  <w:style w:type="paragraph" w:styleId="Piedepgina">
    <w:name w:val="footer"/>
    <w:basedOn w:val="Normal"/>
    <w:link w:val="PiedepginaCar"/>
    <w:uiPriority w:val="99"/>
    <w:unhideWhenUsed w:val="1"/>
    <w:rsid w:val="00983682"/>
    <w:pPr>
      <w:tabs>
        <w:tab w:val="center" w:pos="4419"/>
        <w:tab w:val="right" w:pos="8838"/>
      </w:tabs>
      <w:spacing w:after="0"/>
    </w:pPr>
  </w:style>
  <w:style w:type="character" w:styleId="PiedepginaCar" w:customStyle="1">
    <w:name w:val="Pie de página Car"/>
    <w:basedOn w:val="Fuentedeprrafopredeter"/>
    <w:link w:val="Piedepgina"/>
    <w:uiPriority w:val="99"/>
    <w:rsid w:val="00983682"/>
  </w:style>
  <w:style w:type="character" w:styleId="Ttulo1Car" w:customStyle="1">
    <w:name w:val="Título 1 Car"/>
    <w:basedOn w:val="Fuentedeprrafopredeter"/>
    <w:link w:val="Ttulo1"/>
    <w:uiPriority w:val="9"/>
    <w:rsid w:val="002048F1"/>
    <w:rPr>
      <w:rFonts w:ascii="Poppins ExtraBold" w:cs="Times New Roman" w:eastAsia="Times New Roman" w:hAnsi="Poppins ExtraBold"/>
      <w:b w:val="1"/>
      <w:bCs w:val="1"/>
      <w:color w:val="0070c0"/>
      <w:kern w:val="36"/>
      <w:sz w:val="36"/>
      <w:szCs w:val="48"/>
      <w:lang w:eastAsia="es-AR"/>
    </w:rPr>
  </w:style>
  <w:style w:type="character" w:styleId="Ttulo2Car" w:customStyle="1">
    <w:name w:val="Título 2 Car"/>
    <w:basedOn w:val="Fuentedeprrafopredeter"/>
    <w:link w:val="Ttulo2"/>
    <w:uiPriority w:val="9"/>
    <w:rsid w:val="002048F1"/>
    <w:rPr>
      <w:rFonts w:ascii="Poppins Medium" w:cs="Times New Roman" w:eastAsia="Times New Roman" w:hAnsi="Poppins Medium"/>
      <w:b w:val="1"/>
      <w:bCs w:val="1"/>
      <w:color w:val="0070c0"/>
      <w:spacing w:val="10"/>
      <w:sz w:val="28"/>
      <w:szCs w:val="36"/>
      <w:lang w:eastAsia="es-AR"/>
    </w:rPr>
  </w:style>
  <w:style w:type="paragraph" w:styleId="NormalWeb">
    <w:name w:val="Normal (Web)"/>
    <w:basedOn w:val="Normal"/>
    <w:uiPriority w:val="99"/>
    <w:unhideWhenUsed w:val="1"/>
    <w:rsid w:val="00E161F5"/>
    <w:pPr>
      <w:spacing w:after="100" w:afterAutospacing="1" w:before="100" w:beforeAutospacing="1"/>
    </w:pPr>
    <w:rPr>
      <w:rFonts w:ascii="Times New Roman" w:cs="Times New Roman" w:eastAsia="Times New Roman" w:hAnsi="Times New Roman"/>
      <w:sz w:val="24"/>
      <w:szCs w:val="24"/>
    </w:rPr>
  </w:style>
  <w:style w:type="character" w:styleId="apple-tab-span" w:customStyle="1">
    <w:name w:val="apple-tab-span"/>
    <w:basedOn w:val="Fuentedeprrafopredeter"/>
    <w:rsid w:val="00E161F5"/>
  </w:style>
  <w:style w:type="character" w:styleId="Hipervnculo">
    <w:name w:val="Hyperlink"/>
    <w:basedOn w:val="Fuentedeprrafopredeter"/>
    <w:uiPriority w:val="99"/>
    <w:unhideWhenUsed w:val="1"/>
    <w:rsid w:val="00E161F5"/>
    <w:rPr>
      <w:color w:val="0000ff"/>
      <w:u w:val="single"/>
    </w:rPr>
  </w:style>
  <w:style w:type="paragraph" w:styleId="Prrafodelista">
    <w:name w:val="List Paragraph"/>
    <w:basedOn w:val="Normal"/>
    <w:uiPriority w:val="34"/>
    <w:qFormat w:val="1"/>
    <w:rsid w:val="00E161F5"/>
    <w:pPr>
      <w:ind w:left="720"/>
      <w:contextualSpacing w:val="1"/>
    </w:pPr>
  </w:style>
  <w:style w:type="character" w:styleId="Ttulo3Car" w:customStyle="1">
    <w:name w:val="Título 3 Car"/>
    <w:basedOn w:val="Fuentedeprrafopredeter"/>
    <w:link w:val="Ttulo3"/>
    <w:uiPriority w:val="9"/>
    <w:rsid w:val="002048F1"/>
    <w:rPr>
      <w:rFonts w:ascii="Poppins ExtraBold" w:hAnsi="Poppins ExtraBold" w:cstheme="majorBidi" w:eastAsiaTheme="majorEastAsia"/>
      <w:color w:val="ff0066"/>
      <w:sz w:val="28"/>
      <w:szCs w:val="24"/>
    </w:rPr>
  </w:style>
  <w:style w:type="character" w:styleId="Textoennegrita">
    <w:name w:val="Strong"/>
    <w:basedOn w:val="Fuentedeprrafopredeter"/>
    <w:uiPriority w:val="22"/>
    <w:qFormat w:val="1"/>
    <w:rsid w:val="00C702A2"/>
    <w:rPr>
      <w:b w:val="1"/>
      <w:bCs w:val="1"/>
    </w:rPr>
  </w:style>
  <w:style w:type="character" w:styleId="nfasis">
    <w:name w:val="Emphasis"/>
    <w:basedOn w:val="Fuentedeprrafopredeter"/>
    <w:uiPriority w:val="20"/>
    <w:qFormat w:val="1"/>
    <w:rsid w:val="00EB1694"/>
    <w:rPr>
      <w:i w:val="1"/>
      <w:iCs w:val="1"/>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paragraph" w:styleId="Sinespaciado">
    <w:name w:val="No Spacing"/>
    <w:uiPriority w:val="1"/>
    <w:qFormat w:val="1"/>
    <w:rsid w:val="004E43BE"/>
    <w:pPr>
      <w:spacing w:after="0"/>
    </w:pPr>
  </w:style>
  <w:style w:type="table" w:styleId="Tablaconcuadrcula">
    <w:name w:val="Table Grid"/>
    <w:basedOn w:val="Tablanormal"/>
    <w:uiPriority w:val="59"/>
    <w:rsid w:val="00B94F1A"/>
    <w:pPr>
      <w:spacing w:after="0"/>
    </w:pPr>
    <w:rPr>
      <w:rFonts w:asciiTheme="minorHAnsi" w:cstheme="minorBidi" w:eastAsiaTheme="minorHAnsi" w:hAnsi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esas-cuerpo" w:customStyle="1">
    <w:name w:val="mesas-cuerpo"/>
    <w:basedOn w:val="Normal"/>
    <w:qFormat w:val="1"/>
    <w:rsid w:val="00B94F1A"/>
    <w:pPr>
      <w:spacing w:after="0"/>
      <w:ind w:firstLine="284"/>
      <w:jc w:val="both"/>
    </w:pPr>
    <w:rPr>
      <w:rFonts w:ascii="Arial" w:cs="Arial" w:eastAsia="Times New Roman" w:hAnsi="Arial"/>
      <w:szCs w:val="20"/>
    </w:rPr>
  </w:style>
  <w:style w:type="paragraph" w:styleId="CUADRO-TITULO" w:customStyle="1">
    <w:name w:val="CUADRO-TITULO"/>
    <w:basedOn w:val="Normal"/>
    <w:qFormat w:val="1"/>
    <w:rsid w:val="00B94F1A"/>
    <w:pPr>
      <w:spacing w:after="0"/>
      <w:jc w:val="both"/>
    </w:pPr>
    <w:rPr>
      <w:rFonts w:ascii="Arial" w:cs="Arial" w:hAnsi="Arial" w:eastAsiaTheme="minorHAnsi"/>
      <w:b w:val="1"/>
      <w:lang w:eastAsia="en-US"/>
    </w:rPr>
  </w:style>
  <w:style w:type="paragraph" w:styleId="CUADRO-autores" w:customStyle="1">
    <w:name w:val="CUADRO-autores"/>
    <w:basedOn w:val="Normal"/>
    <w:qFormat w:val="1"/>
    <w:rsid w:val="00B94F1A"/>
    <w:pPr>
      <w:spacing w:after="0"/>
      <w:jc w:val="both"/>
    </w:pPr>
    <w:rPr>
      <w:rFonts w:ascii="Arial" w:cs="Arial" w:hAnsi="Arial" w:eastAsiaTheme="minorHAnsi"/>
      <w:szCs w:val="20"/>
      <w:lang w:eastAsia="en-US"/>
    </w:rPr>
  </w:style>
  <w:style w:type="paragraph" w:styleId="mesa-titulos-cuerpo" w:customStyle="1">
    <w:name w:val="mesa-titulos-cuerpo"/>
    <w:basedOn w:val="Normal"/>
    <w:qFormat w:val="1"/>
    <w:rsid w:val="00B94F1A"/>
    <w:pPr>
      <w:spacing w:after="0"/>
    </w:pPr>
    <w:rPr>
      <w:rFonts w:ascii="Arial" w:cs="Arial" w:hAnsi="Arial" w:eastAsiaTheme="minorHAnsi"/>
      <w:b w:val="1"/>
      <w:lang w:eastAsia="en-US"/>
    </w:rPr>
  </w:style>
  <w:style w:type="paragraph" w:styleId="bibliografia" w:customStyle="1">
    <w:name w:val="bibliografia"/>
    <w:basedOn w:val="mesas-cuerpo"/>
    <w:qFormat w:val="1"/>
    <w:rsid w:val="00B94F1A"/>
    <w:pPr>
      <w:spacing w:after="60"/>
      <w:ind w:left="454" w:hanging="454"/>
      <w:jc w:val="left"/>
    </w:pPr>
    <w:rPr>
      <w:sz w:val="20"/>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0" Type="http://schemas.openxmlformats.org/officeDocument/2006/relationships/font" Target="fonts/PoppinsExtraBold-boldItalic.ttf"/><Relationship Id="rId9" Type="http://schemas.openxmlformats.org/officeDocument/2006/relationships/font" Target="fonts/PoppinsExtraBold-bold.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lFyI3vYXJPvQDjoG77vqgZfgNg==">CgMxLjAaHwoBMBIaChgICVIUChJ0YWJsZS56ZGtid2R4M3QzbHAyDmgucDY1NzdheGFybTZuOAByITEtMFpFZ0FNU0pfUEZJWHRHNkh2dmlkYUFWWTJEZ1h4Rw==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2025-04-29T15:57:00Z</dcterms:created>
  <dc:creator>Usuario de Windows</dc:creator>
</cp:coreProperties>
</file>