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14:paraId="38B0904E"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1EBC4BB1" w14:textId="54DD69E3" w:rsidR="00B94F1A" w:rsidRPr="005809DF" w:rsidRDefault="00B94F1A" w:rsidP="00EE38D7">
            <w:pPr>
              <w:pStyle w:val="CUADRO-TITULO"/>
            </w:pPr>
            <w:r>
              <w:t>TITULO</w:t>
            </w:r>
            <w:r w:rsidR="001C43BE">
              <w:t>:</w:t>
            </w:r>
            <w:r w:rsidR="00354128" w:rsidRPr="00354128">
              <w:t xml:space="preserve"> </w:t>
            </w:r>
            <w:r w:rsidR="00983970">
              <w:t xml:space="preserve">HERRAMIENTAS INTERACTIVAS </w:t>
            </w:r>
            <w:r w:rsidR="00354128" w:rsidRPr="00354128">
              <w:t>PARA POTENCIAR EXPOSICIONES ESTUDIANTILES: UN RELEVAMIENTO EN CONTEXTOS DE EDUCACIÓN VIRTUAL</w:t>
            </w:r>
            <w:r w:rsidR="00354128">
              <w:t>.</w:t>
            </w:r>
          </w:p>
        </w:tc>
      </w:tr>
      <w:tr w:rsidR="00B94F1A" w14:paraId="651E69E6"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689CDEDB" w14:textId="704CE5D5" w:rsidR="00B94F1A" w:rsidRPr="00556328" w:rsidRDefault="00B94F1A" w:rsidP="00B94F1A">
            <w:pPr>
              <w:pStyle w:val="CUADRO-autores"/>
            </w:pPr>
            <w:r>
              <w:rPr>
                <w:lang w:val="pt-BR"/>
              </w:rPr>
              <w:t>APELLIDO, NOMBRE</w:t>
            </w:r>
            <w:r w:rsidR="00354128">
              <w:rPr>
                <w:lang w:val="pt-BR"/>
              </w:rPr>
              <w:t>: PONCE, JORGE ORLANDO. MEZA GUTIERREZ, CINTHIA. JUAREZ, ROLANDO PABLO.</w:t>
            </w:r>
          </w:p>
        </w:tc>
      </w:tr>
      <w:tr w:rsidR="00B94F1A" w14:paraId="31C60635"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5AD17D70" w14:textId="12A207FC" w:rsidR="00B94F1A" w:rsidRPr="00B11E29" w:rsidRDefault="00B94F1A" w:rsidP="00EE38D7">
            <w:pPr>
              <w:pStyle w:val="CUADRO-autores"/>
              <w:jc w:val="left"/>
            </w:pPr>
            <w:r>
              <w:t>PERTENENCIA INSTITUCIONAL</w:t>
            </w:r>
            <w:r w:rsidR="00354128">
              <w:t>: Facultad de Odontología. Universidad Nacional del Nordeste.</w:t>
            </w:r>
          </w:p>
        </w:tc>
      </w:tr>
      <w:tr w:rsidR="00B94F1A" w14:paraId="4807E6A2"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14E8F4E6" w14:textId="22D537C0" w:rsidR="00B94F1A" w:rsidRDefault="00B94F1A" w:rsidP="00EE38D7">
            <w:pPr>
              <w:pStyle w:val="CUADRO-autores"/>
              <w:jc w:val="left"/>
            </w:pPr>
            <w:r>
              <w:t>EJE</w:t>
            </w:r>
            <w:r w:rsidR="00354128">
              <w:t>: 8</w:t>
            </w:r>
          </w:p>
        </w:tc>
      </w:tr>
    </w:tbl>
    <w:p w14:paraId="7227AED6" w14:textId="77777777" w:rsidR="00B94F1A" w:rsidRDefault="00B94F1A" w:rsidP="00B94F1A">
      <w:pPr>
        <w:spacing w:after="120"/>
        <w:rPr>
          <w:rFonts w:ascii="Arial" w:eastAsia="Arial" w:hAnsi="Arial" w:cs="Arial"/>
          <w:i/>
        </w:rPr>
      </w:pPr>
    </w:p>
    <w:p w14:paraId="776B4DB6" w14:textId="086E0ACE" w:rsidR="00B94F1A" w:rsidRPr="00B94F1A" w:rsidRDefault="00B94F1A" w:rsidP="00B94F1A">
      <w:pPr>
        <w:pBdr>
          <w:top w:val="nil"/>
          <w:left w:val="nil"/>
          <w:bottom w:val="nil"/>
          <w:right w:val="nil"/>
          <w:between w:val="nil"/>
        </w:pBdr>
        <w:spacing w:after="0"/>
        <w:rPr>
          <w:rFonts w:ascii="Arial" w:hAnsi="Arial" w:cs="Arial"/>
          <w:color w:val="000000"/>
        </w:rPr>
      </w:pPr>
      <w:r w:rsidRPr="00B94F1A">
        <w:rPr>
          <w:rFonts w:ascii="Arial" w:eastAsia="Aptos" w:hAnsi="Arial" w:cs="Arial"/>
          <w:color w:val="000000"/>
        </w:rPr>
        <w:t>PALABRAS CLAVE</w:t>
      </w:r>
      <w:r w:rsidR="00A46B5A">
        <w:rPr>
          <w:rFonts w:ascii="Arial" w:eastAsia="Aptos" w:hAnsi="Arial" w:cs="Arial"/>
          <w:color w:val="000000"/>
        </w:rPr>
        <w:t>: HERRAMIENTAS DIGITALES- INNOVACIÓN EDUCATIVA</w:t>
      </w:r>
    </w:p>
    <w:p w14:paraId="6A9136A0" w14:textId="77777777" w:rsidR="00B94F1A" w:rsidRDefault="00B94F1A" w:rsidP="00B94F1A">
      <w:pPr>
        <w:spacing w:after="120"/>
        <w:rPr>
          <w:rFonts w:ascii="Arial" w:eastAsia="Arial" w:hAnsi="Arial" w:cs="Arial"/>
          <w:i/>
        </w:rPr>
      </w:pPr>
    </w:p>
    <w:p w14:paraId="5FE98D89" w14:textId="77777777" w:rsidR="00B94F1A" w:rsidRPr="00B94F1A" w:rsidRDefault="00B94F1A" w:rsidP="00B94F1A">
      <w:pPr>
        <w:pStyle w:val="mesa-titulos-cuerpo"/>
      </w:pPr>
      <w:r>
        <w:t>INTRODUCCIÓN</w:t>
      </w:r>
    </w:p>
    <w:p w14:paraId="0C5AFA58" w14:textId="77777777" w:rsidR="007E6899" w:rsidRPr="007E6899" w:rsidRDefault="007E6899" w:rsidP="007E6899">
      <w:pPr>
        <w:pBdr>
          <w:top w:val="nil"/>
          <w:left w:val="nil"/>
          <w:bottom w:val="nil"/>
          <w:right w:val="nil"/>
          <w:between w:val="nil"/>
        </w:pBdr>
        <w:spacing w:after="0"/>
        <w:jc w:val="both"/>
        <w:rPr>
          <w:rFonts w:ascii="Arial" w:eastAsia="Aptos" w:hAnsi="Arial" w:cs="Arial"/>
          <w:bCs/>
          <w:color w:val="000000"/>
        </w:rPr>
      </w:pPr>
      <w:r w:rsidRPr="007E6899">
        <w:rPr>
          <w:rFonts w:ascii="Arial" w:eastAsia="Aptos" w:hAnsi="Arial" w:cs="Arial"/>
          <w:bCs/>
          <w:color w:val="000000"/>
        </w:rPr>
        <w:t>En la actualidad, la incorporación de tecnologías de la información y la comunicación (TIC) en la educación superior constituye un pilar fundamental para innovar en las prácticas de enseñanza y aprendizaje, promoviendo entornos más flexibles, dinámicos y centrados en el estudiante. En este contexto, la Unidad Curricular Fisiología Humana, de la Facultad de Odontología de la Universidad Nacional del Nordeste, ha implementado estrategias didácticas orientadas a estimular la creatividad, la autonomía y el pensamiento crítico de los estudiantes, fomentando un aprendizaje significativo y contextualizado.</w:t>
      </w:r>
    </w:p>
    <w:p w14:paraId="1942CC4D" w14:textId="77777777" w:rsidR="007E6899" w:rsidRPr="007E6899" w:rsidRDefault="007E6899" w:rsidP="007E6899">
      <w:pPr>
        <w:pBdr>
          <w:top w:val="nil"/>
          <w:left w:val="nil"/>
          <w:bottom w:val="nil"/>
          <w:right w:val="nil"/>
          <w:between w:val="nil"/>
        </w:pBdr>
        <w:spacing w:after="0"/>
        <w:jc w:val="both"/>
        <w:rPr>
          <w:rFonts w:ascii="Arial" w:eastAsia="Aptos" w:hAnsi="Arial" w:cs="Arial"/>
          <w:bCs/>
          <w:color w:val="000000"/>
        </w:rPr>
      </w:pPr>
    </w:p>
    <w:p w14:paraId="32A460A5" w14:textId="0068DF90" w:rsidR="007E6899" w:rsidRPr="007E6899" w:rsidRDefault="007E6899" w:rsidP="007E6899">
      <w:pPr>
        <w:pBdr>
          <w:top w:val="nil"/>
          <w:left w:val="nil"/>
          <w:bottom w:val="nil"/>
          <w:right w:val="nil"/>
          <w:between w:val="nil"/>
        </w:pBdr>
        <w:spacing w:after="0"/>
        <w:jc w:val="both"/>
        <w:rPr>
          <w:rFonts w:ascii="Arial" w:eastAsia="Aptos" w:hAnsi="Arial" w:cs="Arial"/>
          <w:bCs/>
          <w:color w:val="000000"/>
        </w:rPr>
      </w:pPr>
      <w:r w:rsidRPr="007E6899">
        <w:rPr>
          <w:rFonts w:ascii="Arial" w:eastAsia="Aptos" w:hAnsi="Arial" w:cs="Arial"/>
          <w:bCs/>
          <w:color w:val="000000"/>
        </w:rPr>
        <w:t>Entre estas estrategias, se destaca el uso de herramientas digitales interactivas</w:t>
      </w:r>
      <w:r>
        <w:rPr>
          <w:rFonts w:ascii="Arial" w:eastAsia="Aptos" w:hAnsi="Arial" w:cs="Arial"/>
          <w:bCs/>
          <w:color w:val="000000"/>
        </w:rPr>
        <w:t xml:space="preserve"> </w:t>
      </w:r>
      <w:r w:rsidRPr="007E6899">
        <w:rPr>
          <w:rFonts w:ascii="Arial" w:eastAsia="Aptos" w:hAnsi="Arial" w:cs="Arial"/>
          <w:bCs/>
          <w:color w:val="000000"/>
        </w:rPr>
        <w:t>para la elaboración de presentaciones académicas, las cuales permiten a los estudiantes organizar y comunicar la información de manera clara, visual y atractiva. La integración de estas herramientas responde a la necesidad de adaptar los procesos formativos a los desafíos de la educación virtual y mixta, que requieren competencias digitales sólidas tanto en docentes como en estudiantes.</w:t>
      </w:r>
    </w:p>
    <w:p w14:paraId="671C5608" w14:textId="77777777" w:rsidR="007E6899" w:rsidRPr="007E6899" w:rsidRDefault="007E6899" w:rsidP="007E6899">
      <w:pPr>
        <w:pBdr>
          <w:top w:val="nil"/>
          <w:left w:val="nil"/>
          <w:bottom w:val="nil"/>
          <w:right w:val="nil"/>
          <w:between w:val="nil"/>
        </w:pBdr>
        <w:spacing w:after="0"/>
        <w:jc w:val="both"/>
        <w:rPr>
          <w:rFonts w:ascii="Arial" w:eastAsia="Aptos" w:hAnsi="Arial" w:cs="Arial"/>
          <w:bCs/>
          <w:color w:val="000000"/>
        </w:rPr>
      </w:pPr>
    </w:p>
    <w:p w14:paraId="2F7DCEF9" w14:textId="0FFC69E9" w:rsidR="00BE7B3D" w:rsidRDefault="00BE7B3D" w:rsidP="007E6899">
      <w:pPr>
        <w:pBdr>
          <w:top w:val="nil"/>
          <w:left w:val="nil"/>
          <w:bottom w:val="nil"/>
          <w:right w:val="nil"/>
          <w:between w:val="nil"/>
        </w:pBdr>
        <w:spacing w:after="0"/>
        <w:jc w:val="both"/>
        <w:rPr>
          <w:rFonts w:ascii="Arial" w:eastAsia="Aptos" w:hAnsi="Arial" w:cs="Arial"/>
          <w:bCs/>
          <w:color w:val="000000"/>
        </w:rPr>
      </w:pPr>
      <w:r w:rsidRPr="00BE7B3D">
        <w:rPr>
          <w:rFonts w:ascii="Arial" w:eastAsia="Aptos" w:hAnsi="Arial" w:cs="Arial"/>
          <w:bCs/>
          <w:color w:val="000000"/>
        </w:rPr>
        <w:t>Estudios recientes demuestran que el uso de tecnologías de presentación interactivas, como</w:t>
      </w:r>
      <w:r>
        <w:rPr>
          <w:rFonts w:ascii="Arial" w:eastAsia="Aptos" w:hAnsi="Arial" w:cs="Arial"/>
          <w:bCs/>
          <w:color w:val="000000"/>
        </w:rPr>
        <w:t xml:space="preserve"> </w:t>
      </w:r>
      <w:proofErr w:type="spellStart"/>
      <w:r w:rsidRPr="00BE7B3D">
        <w:rPr>
          <w:rFonts w:ascii="Arial" w:eastAsia="Aptos" w:hAnsi="Arial" w:cs="Arial"/>
          <w:bCs/>
          <w:color w:val="000000"/>
        </w:rPr>
        <w:t>Canva</w:t>
      </w:r>
      <w:proofErr w:type="spellEnd"/>
      <w:r w:rsidRPr="00BE7B3D">
        <w:rPr>
          <w:rFonts w:ascii="Arial" w:eastAsia="Aptos" w:hAnsi="Arial" w:cs="Arial"/>
          <w:bCs/>
          <w:color w:val="000000"/>
        </w:rPr>
        <w:t>, favorece</w:t>
      </w:r>
      <w:r>
        <w:rPr>
          <w:rFonts w:ascii="Arial" w:eastAsia="Aptos" w:hAnsi="Arial" w:cs="Arial"/>
          <w:bCs/>
          <w:color w:val="000000"/>
        </w:rPr>
        <w:t>n</w:t>
      </w:r>
      <w:r w:rsidRPr="00BE7B3D">
        <w:rPr>
          <w:rFonts w:ascii="Arial" w:eastAsia="Aptos" w:hAnsi="Arial" w:cs="Arial"/>
          <w:bCs/>
          <w:color w:val="000000"/>
        </w:rPr>
        <w:t xml:space="preserve"> la organización de contenidos</w:t>
      </w:r>
      <w:r>
        <w:rPr>
          <w:rFonts w:ascii="Arial" w:eastAsia="Aptos" w:hAnsi="Arial" w:cs="Arial"/>
          <w:bCs/>
          <w:color w:val="000000"/>
        </w:rPr>
        <w:t xml:space="preserve">, </w:t>
      </w:r>
      <w:r w:rsidRPr="00BE7B3D">
        <w:rPr>
          <w:rFonts w:ascii="Arial" w:eastAsia="Aptos" w:hAnsi="Arial" w:cs="Arial"/>
          <w:bCs/>
          <w:color w:val="000000"/>
        </w:rPr>
        <w:t>fomenta la motivación y la</w:t>
      </w:r>
      <w:r>
        <w:rPr>
          <w:rFonts w:ascii="Arial" w:eastAsia="Aptos" w:hAnsi="Arial" w:cs="Arial"/>
          <w:bCs/>
          <w:color w:val="000000"/>
        </w:rPr>
        <w:t xml:space="preserve"> </w:t>
      </w:r>
      <w:r w:rsidRPr="00BE7B3D">
        <w:rPr>
          <w:rFonts w:ascii="Arial" w:eastAsia="Aptos" w:hAnsi="Arial" w:cs="Arial"/>
          <w:bCs/>
          <w:color w:val="000000"/>
        </w:rPr>
        <w:t>participación</w:t>
      </w:r>
      <w:r w:rsidR="004D0584">
        <w:rPr>
          <w:rFonts w:ascii="Arial" w:eastAsia="Aptos" w:hAnsi="Arial" w:cs="Arial"/>
          <w:bCs/>
          <w:color w:val="000000"/>
        </w:rPr>
        <w:t xml:space="preserve"> </w:t>
      </w:r>
      <w:r w:rsidRPr="00BE7B3D">
        <w:rPr>
          <w:rFonts w:ascii="Arial" w:eastAsia="Aptos" w:hAnsi="Arial" w:cs="Arial"/>
          <w:bCs/>
          <w:color w:val="000000"/>
        </w:rPr>
        <w:t>estudiantil</w:t>
      </w:r>
      <w:r w:rsidR="004D0584">
        <w:rPr>
          <w:rFonts w:ascii="Arial" w:eastAsia="Aptos" w:hAnsi="Arial" w:cs="Arial"/>
          <w:bCs/>
          <w:color w:val="000000"/>
        </w:rPr>
        <w:t xml:space="preserve"> </w:t>
      </w:r>
      <w:r w:rsidRPr="00BE7B3D">
        <w:rPr>
          <w:rFonts w:ascii="Arial" w:eastAsia="Aptos" w:hAnsi="Arial" w:cs="Arial"/>
          <w:bCs/>
          <w:color w:val="000000"/>
        </w:rPr>
        <w:t>en entornos virtuales (</w:t>
      </w:r>
      <w:proofErr w:type="spellStart"/>
      <w:r w:rsidRPr="00BE7B3D">
        <w:rPr>
          <w:rFonts w:ascii="Arial" w:eastAsia="Aptos" w:hAnsi="Arial" w:cs="Arial"/>
          <w:bCs/>
          <w:color w:val="000000"/>
        </w:rPr>
        <w:t>Abumosa</w:t>
      </w:r>
      <w:proofErr w:type="spellEnd"/>
      <w:r w:rsidRPr="00BE7B3D">
        <w:rPr>
          <w:rFonts w:ascii="Arial" w:eastAsia="Aptos" w:hAnsi="Arial" w:cs="Arial"/>
          <w:bCs/>
          <w:color w:val="000000"/>
        </w:rPr>
        <w:t>, 2024)</w:t>
      </w:r>
      <w:r>
        <w:rPr>
          <w:rFonts w:ascii="Arial" w:eastAsia="Aptos" w:hAnsi="Arial" w:cs="Arial"/>
          <w:bCs/>
          <w:color w:val="000000"/>
        </w:rPr>
        <w:t>.</w:t>
      </w:r>
      <w:r w:rsidR="004D0584">
        <w:rPr>
          <w:rFonts w:ascii="Arial" w:eastAsia="Aptos" w:hAnsi="Arial" w:cs="Arial"/>
          <w:bCs/>
          <w:color w:val="000000"/>
        </w:rPr>
        <w:t xml:space="preserve"> </w:t>
      </w:r>
      <w:r w:rsidRPr="00BE7B3D">
        <w:rPr>
          <w:rFonts w:ascii="Arial" w:eastAsia="Aptos" w:hAnsi="Arial" w:cs="Arial"/>
          <w:bCs/>
          <w:color w:val="000000"/>
        </w:rPr>
        <w:t>De</w:t>
      </w:r>
      <w:r w:rsidR="004D0584">
        <w:rPr>
          <w:rFonts w:ascii="Arial" w:eastAsia="Aptos" w:hAnsi="Arial" w:cs="Arial"/>
          <w:bCs/>
          <w:color w:val="000000"/>
        </w:rPr>
        <w:t xml:space="preserve"> </w:t>
      </w:r>
      <w:r w:rsidRPr="00BE7B3D">
        <w:rPr>
          <w:rFonts w:ascii="Arial" w:eastAsia="Aptos" w:hAnsi="Arial" w:cs="Arial"/>
          <w:bCs/>
          <w:color w:val="000000"/>
        </w:rPr>
        <w:t>forma complementaria, se ha evidenciado que la combinación de exposiciones</w:t>
      </w:r>
      <w:r>
        <w:rPr>
          <w:rFonts w:ascii="Arial" w:eastAsia="Aptos" w:hAnsi="Arial" w:cs="Arial"/>
          <w:bCs/>
          <w:color w:val="000000"/>
        </w:rPr>
        <w:t xml:space="preserve"> tanto </w:t>
      </w:r>
      <w:r w:rsidRPr="00BE7B3D">
        <w:rPr>
          <w:rFonts w:ascii="Arial" w:eastAsia="Aptos" w:hAnsi="Arial" w:cs="Arial"/>
          <w:bCs/>
          <w:color w:val="000000"/>
        </w:rPr>
        <w:t>virtuales</w:t>
      </w:r>
      <w:r>
        <w:rPr>
          <w:rFonts w:ascii="Arial" w:eastAsia="Aptos" w:hAnsi="Arial" w:cs="Arial"/>
          <w:bCs/>
          <w:color w:val="000000"/>
        </w:rPr>
        <w:t xml:space="preserve"> como </w:t>
      </w:r>
      <w:r w:rsidRPr="00BE7B3D">
        <w:rPr>
          <w:rFonts w:ascii="Arial" w:eastAsia="Aptos" w:hAnsi="Arial" w:cs="Arial"/>
          <w:bCs/>
          <w:color w:val="000000"/>
        </w:rPr>
        <w:t>presenciales, junto con</w:t>
      </w:r>
      <w:r>
        <w:rPr>
          <w:rFonts w:ascii="Arial" w:eastAsia="Aptos" w:hAnsi="Arial" w:cs="Arial"/>
          <w:bCs/>
          <w:color w:val="000000"/>
        </w:rPr>
        <w:t xml:space="preserve"> herramientas </w:t>
      </w:r>
      <w:r w:rsidRPr="00BE7B3D">
        <w:rPr>
          <w:rFonts w:ascii="Arial" w:eastAsia="Aptos" w:hAnsi="Arial" w:cs="Arial"/>
          <w:bCs/>
          <w:color w:val="000000"/>
        </w:rPr>
        <w:t>multimedia</w:t>
      </w:r>
      <w:r>
        <w:rPr>
          <w:rFonts w:ascii="Arial" w:eastAsia="Aptos" w:hAnsi="Arial" w:cs="Arial"/>
          <w:bCs/>
          <w:color w:val="000000"/>
        </w:rPr>
        <w:t>les</w:t>
      </w:r>
      <w:r w:rsidRPr="00BE7B3D">
        <w:rPr>
          <w:rFonts w:ascii="Arial" w:eastAsia="Aptos" w:hAnsi="Arial" w:cs="Arial"/>
          <w:bCs/>
          <w:color w:val="000000"/>
        </w:rPr>
        <w:t>, enriquece la experiencia</w:t>
      </w:r>
      <w:r>
        <w:rPr>
          <w:rFonts w:ascii="Arial" w:eastAsia="Aptos" w:hAnsi="Arial" w:cs="Arial"/>
          <w:bCs/>
          <w:color w:val="000000"/>
        </w:rPr>
        <w:t xml:space="preserve"> y </w:t>
      </w:r>
      <w:r w:rsidRPr="00BE7B3D">
        <w:rPr>
          <w:rFonts w:ascii="Arial" w:eastAsia="Aptos" w:hAnsi="Arial" w:cs="Arial"/>
          <w:bCs/>
          <w:color w:val="000000"/>
        </w:rPr>
        <w:t>se adapta a diferentes estilos de aprendizaje, aunque requiere superar barreras tecnológicas y fortalecer la capacitación docente (</w:t>
      </w:r>
      <w:proofErr w:type="spellStart"/>
      <w:r w:rsidRPr="00BE7B3D">
        <w:rPr>
          <w:rFonts w:ascii="Arial" w:eastAsia="Aptos" w:hAnsi="Arial" w:cs="Arial"/>
          <w:bCs/>
          <w:color w:val="000000"/>
        </w:rPr>
        <w:t>Darmuh</w:t>
      </w:r>
      <w:proofErr w:type="spellEnd"/>
      <w:r w:rsidRPr="00BE7B3D">
        <w:rPr>
          <w:rFonts w:ascii="Arial" w:eastAsia="Aptos" w:hAnsi="Arial" w:cs="Arial"/>
          <w:bCs/>
          <w:color w:val="000000"/>
        </w:rPr>
        <w:t xml:space="preserve"> et al., 2023).</w:t>
      </w:r>
    </w:p>
    <w:p w14:paraId="40F7CE85" w14:textId="7407E071" w:rsidR="00F7125F" w:rsidRDefault="00F7125F" w:rsidP="007E6899">
      <w:pPr>
        <w:pBdr>
          <w:top w:val="nil"/>
          <w:left w:val="nil"/>
          <w:bottom w:val="nil"/>
          <w:right w:val="nil"/>
          <w:between w:val="nil"/>
        </w:pBdr>
        <w:spacing w:after="0"/>
        <w:jc w:val="both"/>
        <w:rPr>
          <w:rFonts w:ascii="Arial" w:eastAsia="Aptos" w:hAnsi="Arial" w:cs="Arial"/>
          <w:bCs/>
          <w:color w:val="000000"/>
        </w:rPr>
      </w:pPr>
      <w:r>
        <w:rPr>
          <w:rFonts w:ascii="Arial" w:eastAsia="Aptos" w:hAnsi="Arial" w:cs="Arial"/>
          <w:bCs/>
          <w:color w:val="000000"/>
        </w:rPr>
        <w:t>A</w:t>
      </w:r>
      <w:r w:rsidRPr="00F7125F">
        <w:rPr>
          <w:rFonts w:ascii="Arial" w:eastAsia="Aptos" w:hAnsi="Arial" w:cs="Arial"/>
          <w:bCs/>
          <w:color w:val="000000"/>
        </w:rPr>
        <w:t>demás,</w:t>
      </w:r>
      <w:r>
        <w:rPr>
          <w:rFonts w:ascii="Arial" w:eastAsia="Aptos" w:hAnsi="Arial" w:cs="Arial"/>
          <w:bCs/>
          <w:color w:val="000000"/>
        </w:rPr>
        <w:t xml:space="preserve"> </w:t>
      </w:r>
      <w:proofErr w:type="spellStart"/>
      <w:r w:rsidRPr="00F7125F">
        <w:rPr>
          <w:rFonts w:ascii="Arial" w:eastAsia="Aptos" w:hAnsi="Arial" w:cs="Arial"/>
          <w:bCs/>
          <w:color w:val="000000"/>
        </w:rPr>
        <w:t>Utomo</w:t>
      </w:r>
      <w:proofErr w:type="spellEnd"/>
      <w:r w:rsidRPr="00F7125F">
        <w:rPr>
          <w:rFonts w:ascii="Arial" w:eastAsia="Aptos" w:hAnsi="Arial" w:cs="Arial"/>
          <w:bCs/>
          <w:color w:val="000000"/>
        </w:rPr>
        <w:t xml:space="preserve"> y </w:t>
      </w:r>
      <w:proofErr w:type="spellStart"/>
      <w:r w:rsidRPr="00F7125F">
        <w:rPr>
          <w:rFonts w:ascii="Arial" w:eastAsia="Aptos" w:hAnsi="Arial" w:cs="Arial"/>
          <w:bCs/>
          <w:color w:val="000000"/>
        </w:rPr>
        <w:t>Utama</w:t>
      </w:r>
      <w:proofErr w:type="spellEnd"/>
      <w:r w:rsidRPr="00F7125F">
        <w:rPr>
          <w:rFonts w:ascii="Arial" w:eastAsia="Aptos" w:hAnsi="Arial" w:cs="Arial"/>
          <w:bCs/>
          <w:color w:val="000000"/>
        </w:rPr>
        <w:t xml:space="preserve"> (2022)</w:t>
      </w:r>
      <w:r>
        <w:rPr>
          <w:rFonts w:ascii="Arial" w:eastAsia="Aptos" w:hAnsi="Arial" w:cs="Arial"/>
          <w:bCs/>
          <w:color w:val="000000"/>
        </w:rPr>
        <w:t xml:space="preserve"> </w:t>
      </w:r>
      <w:r w:rsidRPr="00F7125F">
        <w:rPr>
          <w:rFonts w:ascii="Arial" w:eastAsia="Aptos" w:hAnsi="Arial" w:cs="Arial"/>
          <w:bCs/>
          <w:color w:val="000000"/>
        </w:rPr>
        <w:t>destacan</w:t>
      </w:r>
      <w:r>
        <w:rPr>
          <w:rFonts w:ascii="Arial" w:eastAsia="Aptos" w:hAnsi="Arial" w:cs="Arial"/>
          <w:bCs/>
          <w:color w:val="000000"/>
        </w:rPr>
        <w:t xml:space="preserve"> </w:t>
      </w:r>
      <w:r w:rsidRPr="00F7125F">
        <w:rPr>
          <w:rFonts w:ascii="Arial" w:eastAsia="Aptos" w:hAnsi="Arial" w:cs="Arial"/>
          <w:bCs/>
          <w:color w:val="000000"/>
        </w:rPr>
        <w:t>que</w:t>
      </w:r>
      <w:r>
        <w:rPr>
          <w:rFonts w:ascii="Arial" w:eastAsia="Aptos" w:hAnsi="Arial" w:cs="Arial"/>
          <w:bCs/>
          <w:color w:val="000000"/>
        </w:rPr>
        <w:t xml:space="preserve"> </w:t>
      </w:r>
      <w:r w:rsidRPr="00F7125F">
        <w:rPr>
          <w:rFonts w:ascii="Arial" w:eastAsia="Aptos" w:hAnsi="Arial" w:cs="Arial"/>
          <w:bCs/>
          <w:color w:val="000000"/>
        </w:rPr>
        <w:t>la</w:t>
      </w:r>
      <w:r>
        <w:rPr>
          <w:rFonts w:ascii="Arial" w:eastAsia="Aptos" w:hAnsi="Arial" w:cs="Arial"/>
          <w:bCs/>
          <w:color w:val="000000"/>
        </w:rPr>
        <w:t xml:space="preserve"> </w:t>
      </w:r>
      <w:r w:rsidRPr="00F7125F">
        <w:rPr>
          <w:rFonts w:ascii="Arial" w:eastAsia="Aptos" w:hAnsi="Arial" w:cs="Arial"/>
          <w:bCs/>
          <w:color w:val="000000"/>
        </w:rPr>
        <w:t xml:space="preserve">implementación de </w:t>
      </w:r>
      <w:r>
        <w:rPr>
          <w:rFonts w:ascii="Arial" w:eastAsia="Aptos" w:hAnsi="Arial" w:cs="Arial"/>
          <w:bCs/>
          <w:color w:val="000000"/>
        </w:rPr>
        <w:t xml:space="preserve">aplicaciones </w:t>
      </w:r>
      <w:r w:rsidRPr="00F7125F">
        <w:rPr>
          <w:rFonts w:ascii="Arial" w:eastAsia="Aptos" w:hAnsi="Arial" w:cs="Arial"/>
          <w:bCs/>
          <w:color w:val="000000"/>
        </w:rPr>
        <w:t>interactivas</w:t>
      </w:r>
      <w:r>
        <w:rPr>
          <w:rFonts w:ascii="Arial" w:eastAsia="Aptos" w:hAnsi="Arial" w:cs="Arial"/>
          <w:bCs/>
          <w:color w:val="000000"/>
        </w:rPr>
        <w:t xml:space="preserve"> </w:t>
      </w:r>
      <w:r w:rsidRPr="00F7125F">
        <w:rPr>
          <w:rFonts w:ascii="Arial" w:eastAsia="Aptos" w:hAnsi="Arial" w:cs="Arial"/>
          <w:bCs/>
          <w:color w:val="000000"/>
        </w:rPr>
        <w:t>incrementa el nivel de atención y participación del alumnado durante las clases online, siempre que se planifique su uso de manera adecuada para evitar distracciones y maximizar su impacto didáctico.</w:t>
      </w:r>
    </w:p>
    <w:p w14:paraId="44AF5E02" w14:textId="36A3B761" w:rsidR="007E6899" w:rsidRPr="007E6899" w:rsidRDefault="007E6899" w:rsidP="007E6899">
      <w:pPr>
        <w:pBdr>
          <w:top w:val="nil"/>
          <w:left w:val="nil"/>
          <w:bottom w:val="nil"/>
          <w:right w:val="nil"/>
          <w:between w:val="nil"/>
        </w:pBdr>
        <w:spacing w:after="0"/>
        <w:jc w:val="both"/>
        <w:rPr>
          <w:rFonts w:ascii="Arial" w:eastAsia="Aptos" w:hAnsi="Arial" w:cs="Arial"/>
          <w:bCs/>
          <w:color w:val="000000"/>
        </w:rPr>
      </w:pPr>
      <w:r w:rsidRPr="007E6899">
        <w:rPr>
          <w:rFonts w:ascii="Arial" w:eastAsia="Aptos" w:hAnsi="Arial" w:cs="Arial"/>
          <w:bCs/>
          <w:color w:val="000000"/>
        </w:rPr>
        <w:t>Con el propósito de profundizar en esta problemática y conocer la percepción de los estudiantes sobre el uso de herramientas digitales en la preparación de exposiciones académicas, se llevó a cabo un relevamiento al finalizar el cuatrimestre, utilizando un cuestionario estructurado y valorado mediante una escala de Likert. Los resultados obtenidos aportan evidencia local para reflexionar sobre la integración de est</w:t>
      </w:r>
      <w:r w:rsidR="00496EE1">
        <w:rPr>
          <w:rFonts w:ascii="Arial" w:eastAsia="Aptos" w:hAnsi="Arial" w:cs="Arial"/>
          <w:bCs/>
          <w:color w:val="000000"/>
        </w:rPr>
        <w:t xml:space="preserve">as herramientas tecnológicas </w:t>
      </w:r>
      <w:r w:rsidRPr="007E6899">
        <w:rPr>
          <w:rFonts w:ascii="Arial" w:eastAsia="Aptos" w:hAnsi="Arial" w:cs="Arial"/>
          <w:bCs/>
          <w:color w:val="000000"/>
        </w:rPr>
        <w:t>en el aula virtual y contribuir al diseño de estrategias pedagógicas que potencien su impacto en la formación profesional.</w:t>
      </w:r>
    </w:p>
    <w:p w14:paraId="7E9260F8" w14:textId="77777777" w:rsidR="00B5021E" w:rsidRPr="00B5021E" w:rsidRDefault="00B5021E" w:rsidP="00B5021E">
      <w:pPr>
        <w:pBdr>
          <w:top w:val="nil"/>
          <w:left w:val="nil"/>
          <w:bottom w:val="nil"/>
          <w:right w:val="nil"/>
          <w:between w:val="nil"/>
        </w:pBdr>
        <w:spacing w:after="0"/>
        <w:jc w:val="both"/>
        <w:rPr>
          <w:rFonts w:ascii="Arial" w:eastAsia="Aptos" w:hAnsi="Arial" w:cs="Arial"/>
          <w:bCs/>
          <w:color w:val="000000"/>
        </w:rPr>
      </w:pPr>
    </w:p>
    <w:p w14:paraId="7FAE5F1D" w14:textId="77777777" w:rsidR="00B5021E" w:rsidRDefault="00B5021E" w:rsidP="00B94F1A">
      <w:pPr>
        <w:pBdr>
          <w:top w:val="nil"/>
          <w:left w:val="nil"/>
          <w:bottom w:val="nil"/>
          <w:right w:val="nil"/>
          <w:between w:val="nil"/>
        </w:pBdr>
        <w:spacing w:after="0"/>
        <w:rPr>
          <w:rFonts w:ascii="Arial" w:eastAsia="Aptos" w:hAnsi="Arial" w:cs="Arial"/>
          <w:b/>
          <w:color w:val="000000"/>
        </w:rPr>
      </w:pPr>
    </w:p>
    <w:p w14:paraId="570DB80B" w14:textId="509F05CD"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lastRenderedPageBreak/>
        <w:t>OBJETIVOS</w:t>
      </w:r>
    </w:p>
    <w:p w14:paraId="580E083E" w14:textId="77777777" w:rsidR="00B94F1A" w:rsidRDefault="00B94F1A" w:rsidP="005478E5">
      <w:pPr>
        <w:pBdr>
          <w:top w:val="nil"/>
          <w:left w:val="nil"/>
          <w:bottom w:val="nil"/>
          <w:right w:val="nil"/>
          <w:between w:val="nil"/>
        </w:pBdr>
        <w:spacing w:after="0"/>
        <w:jc w:val="both"/>
        <w:rPr>
          <w:rFonts w:ascii="Arial" w:hAnsi="Arial" w:cs="Arial"/>
          <w:color w:val="000000"/>
        </w:rPr>
      </w:pPr>
    </w:p>
    <w:p w14:paraId="6F7326F7" w14:textId="77777777" w:rsidR="005478E5" w:rsidRPr="005478E5" w:rsidRDefault="005478E5" w:rsidP="000F5970">
      <w:pPr>
        <w:pBdr>
          <w:top w:val="nil"/>
          <w:left w:val="nil"/>
          <w:bottom w:val="nil"/>
          <w:right w:val="nil"/>
          <w:between w:val="nil"/>
        </w:pBdr>
        <w:spacing w:after="0"/>
        <w:jc w:val="both"/>
        <w:rPr>
          <w:rFonts w:ascii="Arial" w:hAnsi="Arial" w:cs="Arial"/>
          <w:color w:val="000000"/>
        </w:rPr>
      </w:pPr>
      <w:r w:rsidRPr="005478E5">
        <w:rPr>
          <w:rFonts w:ascii="Arial" w:hAnsi="Arial" w:cs="Arial"/>
          <w:color w:val="000000"/>
        </w:rPr>
        <w:t>El objetivo principal de este trabajo fue relevar y analizar la percepción de los estudiantes de la asignatura Fisiología Humana sobre el uso de herramientas digitales interactivas para la elaboración de presentaciones académicas, en el contexto de la educación virtual.</w:t>
      </w:r>
    </w:p>
    <w:p w14:paraId="2FAAC4BF" w14:textId="77777777" w:rsidR="005478E5" w:rsidRPr="005478E5" w:rsidRDefault="005478E5" w:rsidP="000F5970">
      <w:pPr>
        <w:pBdr>
          <w:top w:val="nil"/>
          <w:left w:val="nil"/>
          <w:bottom w:val="nil"/>
          <w:right w:val="nil"/>
          <w:between w:val="nil"/>
        </w:pBdr>
        <w:spacing w:after="0"/>
        <w:jc w:val="both"/>
        <w:rPr>
          <w:rFonts w:ascii="Arial" w:hAnsi="Arial" w:cs="Arial"/>
          <w:color w:val="000000"/>
        </w:rPr>
      </w:pPr>
    </w:p>
    <w:p w14:paraId="454AA655" w14:textId="77777777" w:rsidR="005478E5" w:rsidRPr="005478E5" w:rsidRDefault="005478E5" w:rsidP="000F5970">
      <w:pPr>
        <w:pBdr>
          <w:top w:val="nil"/>
          <w:left w:val="nil"/>
          <w:bottom w:val="nil"/>
          <w:right w:val="nil"/>
          <w:between w:val="nil"/>
        </w:pBdr>
        <w:spacing w:after="0"/>
        <w:jc w:val="both"/>
        <w:rPr>
          <w:rFonts w:ascii="Arial" w:hAnsi="Arial" w:cs="Arial"/>
          <w:color w:val="000000"/>
        </w:rPr>
      </w:pPr>
      <w:r w:rsidRPr="005478E5">
        <w:rPr>
          <w:rFonts w:ascii="Arial" w:hAnsi="Arial" w:cs="Arial"/>
          <w:color w:val="000000"/>
        </w:rPr>
        <w:t>De manera específica, se buscó:</w:t>
      </w:r>
    </w:p>
    <w:p w14:paraId="5BDBE7A4" w14:textId="77777777" w:rsidR="005478E5" w:rsidRPr="005478E5" w:rsidRDefault="005478E5" w:rsidP="000F5970">
      <w:pPr>
        <w:pBdr>
          <w:top w:val="nil"/>
          <w:left w:val="nil"/>
          <w:bottom w:val="nil"/>
          <w:right w:val="nil"/>
          <w:between w:val="nil"/>
        </w:pBdr>
        <w:spacing w:after="0"/>
        <w:jc w:val="both"/>
        <w:rPr>
          <w:rFonts w:ascii="Arial" w:hAnsi="Arial" w:cs="Arial"/>
          <w:color w:val="000000"/>
        </w:rPr>
      </w:pPr>
    </w:p>
    <w:p w14:paraId="1E525379" w14:textId="77777777" w:rsidR="005478E5" w:rsidRPr="005478E5" w:rsidRDefault="005478E5" w:rsidP="000F5970">
      <w:pPr>
        <w:pBdr>
          <w:top w:val="nil"/>
          <w:left w:val="nil"/>
          <w:bottom w:val="nil"/>
          <w:right w:val="nil"/>
          <w:between w:val="nil"/>
        </w:pBdr>
        <w:spacing w:after="0"/>
        <w:jc w:val="both"/>
        <w:rPr>
          <w:rFonts w:ascii="Arial" w:hAnsi="Arial" w:cs="Arial"/>
          <w:color w:val="000000"/>
        </w:rPr>
      </w:pPr>
      <w:r w:rsidRPr="005478E5">
        <w:rPr>
          <w:rFonts w:ascii="Arial" w:hAnsi="Arial" w:cs="Arial"/>
          <w:color w:val="000000"/>
        </w:rPr>
        <w:t>Identificar las herramientas más utilizadas por los estudiantes para diseñar y exponer contenidos.</w:t>
      </w:r>
    </w:p>
    <w:p w14:paraId="57591B14" w14:textId="77777777" w:rsidR="005478E5" w:rsidRPr="005478E5" w:rsidRDefault="005478E5" w:rsidP="000F5970">
      <w:pPr>
        <w:pBdr>
          <w:top w:val="nil"/>
          <w:left w:val="nil"/>
          <w:bottom w:val="nil"/>
          <w:right w:val="nil"/>
          <w:between w:val="nil"/>
        </w:pBdr>
        <w:spacing w:after="0"/>
        <w:jc w:val="both"/>
        <w:rPr>
          <w:rFonts w:ascii="Arial" w:hAnsi="Arial" w:cs="Arial"/>
          <w:color w:val="000000"/>
        </w:rPr>
      </w:pPr>
    </w:p>
    <w:p w14:paraId="1070AB1B" w14:textId="77777777" w:rsidR="005478E5" w:rsidRPr="005478E5" w:rsidRDefault="005478E5" w:rsidP="000F5970">
      <w:pPr>
        <w:pBdr>
          <w:top w:val="nil"/>
          <w:left w:val="nil"/>
          <w:bottom w:val="nil"/>
          <w:right w:val="nil"/>
          <w:between w:val="nil"/>
        </w:pBdr>
        <w:spacing w:after="0"/>
        <w:jc w:val="both"/>
        <w:rPr>
          <w:rFonts w:ascii="Arial" w:hAnsi="Arial" w:cs="Arial"/>
          <w:color w:val="000000"/>
        </w:rPr>
      </w:pPr>
      <w:r w:rsidRPr="005478E5">
        <w:rPr>
          <w:rFonts w:ascii="Arial" w:hAnsi="Arial" w:cs="Arial"/>
          <w:color w:val="000000"/>
        </w:rPr>
        <w:t>Valorar el grado de acuerdo respecto a la contribución de estas herramientas en la organización de la información y en la facilitación del aprendizaje.</w:t>
      </w:r>
    </w:p>
    <w:p w14:paraId="4D60E04F" w14:textId="77777777" w:rsidR="005478E5" w:rsidRPr="005478E5" w:rsidRDefault="005478E5" w:rsidP="000F5970">
      <w:pPr>
        <w:pBdr>
          <w:top w:val="nil"/>
          <w:left w:val="nil"/>
          <w:bottom w:val="nil"/>
          <w:right w:val="nil"/>
          <w:between w:val="nil"/>
        </w:pBdr>
        <w:spacing w:after="0"/>
        <w:jc w:val="both"/>
        <w:rPr>
          <w:rFonts w:ascii="Arial" w:hAnsi="Arial" w:cs="Arial"/>
          <w:color w:val="000000"/>
        </w:rPr>
      </w:pPr>
    </w:p>
    <w:p w14:paraId="188A04B4" w14:textId="77777777" w:rsidR="005478E5" w:rsidRPr="005478E5" w:rsidRDefault="005478E5" w:rsidP="000F5970">
      <w:pPr>
        <w:pBdr>
          <w:top w:val="nil"/>
          <w:left w:val="nil"/>
          <w:bottom w:val="nil"/>
          <w:right w:val="nil"/>
          <w:between w:val="nil"/>
        </w:pBdr>
        <w:spacing w:after="0"/>
        <w:jc w:val="both"/>
        <w:rPr>
          <w:rFonts w:ascii="Arial" w:hAnsi="Arial" w:cs="Arial"/>
          <w:color w:val="000000"/>
        </w:rPr>
      </w:pPr>
      <w:r w:rsidRPr="005478E5">
        <w:rPr>
          <w:rFonts w:ascii="Arial" w:hAnsi="Arial" w:cs="Arial"/>
          <w:color w:val="000000"/>
        </w:rPr>
        <w:t>Reflexionar sobre la incorporación de recursos digitales innovadores como estrategia para potenciar la creatividad y el aprendizaje significativo en el aula virtual.</w:t>
      </w:r>
    </w:p>
    <w:p w14:paraId="10ABC23D" w14:textId="77777777" w:rsidR="00B5021E" w:rsidRDefault="00B5021E" w:rsidP="00B94F1A">
      <w:pPr>
        <w:pBdr>
          <w:top w:val="nil"/>
          <w:left w:val="nil"/>
          <w:bottom w:val="nil"/>
          <w:right w:val="nil"/>
          <w:between w:val="nil"/>
        </w:pBdr>
        <w:spacing w:after="0"/>
        <w:rPr>
          <w:rFonts w:ascii="Arial" w:hAnsi="Arial" w:cs="Arial"/>
          <w:color w:val="000000"/>
        </w:rPr>
      </w:pPr>
    </w:p>
    <w:p w14:paraId="5421DFBB" w14:textId="77777777" w:rsidR="00B5021E" w:rsidRDefault="00B5021E" w:rsidP="00B94F1A">
      <w:pPr>
        <w:pBdr>
          <w:top w:val="nil"/>
          <w:left w:val="nil"/>
          <w:bottom w:val="nil"/>
          <w:right w:val="nil"/>
          <w:between w:val="nil"/>
        </w:pBdr>
        <w:spacing w:after="0"/>
        <w:rPr>
          <w:rFonts w:ascii="Arial" w:hAnsi="Arial" w:cs="Arial"/>
          <w:color w:val="000000"/>
        </w:rPr>
      </w:pPr>
    </w:p>
    <w:p w14:paraId="7AB79ED7" w14:textId="77777777" w:rsidR="00B5021E" w:rsidRPr="00B94F1A" w:rsidRDefault="00B5021E" w:rsidP="00B94F1A">
      <w:pPr>
        <w:pBdr>
          <w:top w:val="nil"/>
          <w:left w:val="nil"/>
          <w:bottom w:val="nil"/>
          <w:right w:val="nil"/>
          <w:between w:val="nil"/>
        </w:pBdr>
        <w:spacing w:after="0"/>
        <w:rPr>
          <w:rFonts w:ascii="Arial" w:hAnsi="Arial" w:cs="Arial"/>
          <w:color w:val="000000"/>
        </w:rPr>
      </w:pPr>
    </w:p>
    <w:p w14:paraId="2D5F1235" w14:textId="77777777"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MATERIALES Y MÉTODOS</w:t>
      </w:r>
    </w:p>
    <w:p w14:paraId="410117D2" w14:textId="77777777" w:rsidR="0091644F" w:rsidRDefault="0091644F" w:rsidP="00B94F1A">
      <w:pPr>
        <w:pBdr>
          <w:top w:val="nil"/>
          <w:left w:val="nil"/>
          <w:bottom w:val="nil"/>
          <w:right w:val="nil"/>
          <w:between w:val="nil"/>
        </w:pBdr>
        <w:spacing w:after="0"/>
        <w:rPr>
          <w:rFonts w:ascii="Arial" w:eastAsia="Aptos" w:hAnsi="Arial" w:cs="Arial"/>
          <w:b/>
          <w:color w:val="000000"/>
        </w:rPr>
      </w:pPr>
    </w:p>
    <w:p w14:paraId="4DF8D24F" w14:textId="006F01A4" w:rsidR="0091644F" w:rsidRPr="0091644F" w:rsidRDefault="0091644F" w:rsidP="0091644F">
      <w:pPr>
        <w:pBdr>
          <w:top w:val="nil"/>
          <w:left w:val="nil"/>
          <w:bottom w:val="nil"/>
          <w:right w:val="nil"/>
          <w:between w:val="nil"/>
        </w:pBdr>
        <w:spacing w:after="0"/>
        <w:jc w:val="both"/>
        <w:rPr>
          <w:rFonts w:ascii="Arial" w:eastAsia="Aptos" w:hAnsi="Arial" w:cs="Arial"/>
          <w:bCs/>
          <w:color w:val="000000"/>
        </w:rPr>
      </w:pPr>
      <w:r w:rsidRPr="0091644F">
        <w:rPr>
          <w:rFonts w:ascii="Arial" w:eastAsia="Aptos" w:hAnsi="Arial" w:cs="Arial"/>
          <w:bCs/>
          <w:color w:val="000000"/>
        </w:rPr>
        <w:t>Se</w:t>
      </w:r>
      <w:r w:rsidR="000F5970">
        <w:rPr>
          <w:rFonts w:ascii="Arial" w:eastAsia="Aptos" w:hAnsi="Arial" w:cs="Arial"/>
          <w:bCs/>
          <w:color w:val="000000"/>
        </w:rPr>
        <w:t xml:space="preserve"> </w:t>
      </w:r>
      <w:r w:rsidRPr="0091644F">
        <w:rPr>
          <w:rFonts w:ascii="Arial" w:eastAsia="Aptos" w:hAnsi="Arial" w:cs="Arial"/>
          <w:bCs/>
          <w:color w:val="000000"/>
        </w:rPr>
        <w:t>realizó</w:t>
      </w:r>
      <w:r w:rsidR="000F5970">
        <w:rPr>
          <w:rFonts w:ascii="Arial" w:eastAsia="Aptos" w:hAnsi="Arial" w:cs="Arial"/>
          <w:bCs/>
          <w:color w:val="000000"/>
        </w:rPr>
        <w:t xml:space="preserve"> </w:t>
      </w:r>
      <w:r w:rsidRPr="0091644F">
        <w:rPr>
          <w:rFonts w:ascii="Arial" w:eastAsia="Aptos" w:hAnsi="Arial" w:cs="Arial"/>
          <w:bCs/>
          <w:color w:val="000000"/>
        </w:rPr>
        <w:t>un estudio descriptivo de tipo transversal durante el ciclo lectivo correspondiente a la cursada de la asignatura Fisiología Humana en la Facultad de Odontología de la Universidad Nacional del Nordeste.</w:t>
      </w:r>
    </w:p>
    <w:p w14:paraId="5DA8FF08" w14:textId="77777777" w:rsidR="0091644F" w:rsidRPr="0091644F" w:rsidRDefault="0091644F" w:rsidP="0091644F">
      <w:pPr>
        <w:pBdr>
          <w:top w:val="nil"/>
          <w:left w:val="nil"/>
          <w:bottom w:val="nil"/>
          <w:right w:val="nil"/>
          <w:between w:val="nil"/>
        </w:pBdr>
        <w:spacing w:after="0"/>
        <w:jc w:val="both"/>
        <w:rPr>
          <w:rFonts w:ascii="Arial" w:eastAsia="Aptos" w:hAnsi="Arial" w:cs="Arial"/>
          <w:bCs/>
          <w:color w:val="000000"/>
        </w:rPr>
      </w:pPr>
    </w:p>
    <w:p w14:paraId="374CCA0C" w14:textId="5F20BCA4" w:rsidR="0091644F" w:rsidRDefault="0091644F" w:rsidP="0091644F">
      <w:pPr>
        <w:pBdr>
          <w:top w:val="nil"/>
          <w:left w:val="nil"/>
          <w:bottom w:val="nil"/>
          <w:right w:val="nil"/>
          <w:between w:val="nil"/>
        </w:pBdr>
        <w:spacing w:after="0"/>
        <w:jc w:val="both"/>
        <w:rPr>
          <w:rFonts w:ascii="Arial" w:eastAsia="Aptos" w:hAnsi="Arial" w:cs="Arial"/>
          <w:bCs/>
          <w:color w:val="000000"/>
        </w:rPr>
      </w:pPr>
      <w:r w:rsidRPr="0091644F">
        <w:rPr>
          <w:rFonts w:ascii="Arial" w:eastAsia="Aptos" w:hAnsi="Arial" w:cs="Arial"/>
          <w:bCs/>
          <w:color w:val="000000"/>
        </w:rPr>
        <w:t>La población de estudio estuvo conformada por los estudiantes que completaron la unidad curricular durante el cuatrimestre. Como instrumento de recolección de datos se diseñó un cuestionario en línea, estructurado con preguntas cerradas y afirmaciones valoradas mediante una escala de Likert de cinco puntos, que indagaron sobre la utilización de diversas herramientas digitales</w:t>
      </w:r>
      <w:r w:rsidR="00813F53">
        <w:rPr>
          <w:rFonts w:ascii="Arial" w:eastAsia="Aptos" w:hAnsi="Arial" w:cs="Arial"/>
          <w:bCs/>
          <w:color w:val="000000"/>
        </w:rPr>
        <w:t xml:space="preserve"> (</w:t>
      </w:r>
      <w:proofErr w:type="spellStart"/>
      <w:r w:rsidRPr="0091644F">
        <w:rPr>
          <w:rFonts w:ascii="Arial" w:eastAsia="Aptos" w:hAnsi="Arial" w:cs="Arial"/>
          <w:bCs/>
          <w:color w:val="000000"/>
        </w:rPr>
        <w:t>Canva</w:t>
      </w:r>
      <w:proofErr w:type="spellEnd"/>
      <w:r w:rsidR="00813F53">
        <w:rPr>
          <w:rFonts w:ascii="Arial" w:eastAsia="Aptos" w:hAnsi="Arial" w:cs="Arial"/>
          <w:bCs/>
          <w:color w:val="000000"/>
        </w:rPr>
        <w:t xml:space="preserve">, </w:t>
      </w:r>
      <w:proofErr w:type="spellStart"/>
      <w:r w:rsidRPr="0091644F">
        <w:rPr>
          <w:rFonts w:ascii="Arial" w:eastAsia="Aptos" w:hAnsi="Arial" w:cs="Arial"/>
          <w:bCs/>
          <w:color w:val="000000"/>
        </w:rPr>
        <w:t>Genially</w:t>
      </w:r>
      <w:proofErr w:type="spellEnd"/>
      <w:r w:rsidR="00813F53">
        <w:rPr>
          <w:rFonts w:ascii="Arial" w:eastAsia="Aptos" w:hAnsi="Arial" w:cs="Arial"/>
          <w:bCs/>
          <w:color w:val="000000"/>
        </w:rPr>
        <w:t xml:space="preserve"> y </w:t>
      </w:r>
      <w:r w:rsidRPr="0091644F">
        <w:rPr>
          <w:rFonts w:ascii="Arial" w:eastAsia="Aptos" w:hAnsi="Arial" w:cs="Arial"/>
          <w:bCs/>
          <w:color w:val="000000"/>
        </w:rPr>
        <w:t>PowerPoint) y su percepción acerca de la utilidad de estas en la organización de la información y la facilitación del aprendizaje.</w:t>
      </w:r>
    </w:p>
    <w:p w14:paraId="1852B550" w14:textId="77777777" w:rsidR="00855C56" w:rsidRPr="0091644F" w:rsidRDefault="00855C56" w:rsidP="0091644F">
      <w:pPr>
        <w:pBdr>
          <w:top w:val="nil"/>
          <w:left w:val="nil"/>
          <w:bottom w:val="nil"/>
          <w:right w:val="nil"/>
          <w:between w:val="nil"/>
        </w:pBdr>
        <w:spacing w:after="0"/>
        <w:jc w:val="both"/>
        <w:rPr>
          <w:rFonts w:ascii="Arial" w:eastAsia="Aptos" w:hAnsi="Arial" w:cs="Arial"/>
          <w:bCs/>
          <w:color w:val="000000"/>
        </w:rPr>
      </w:pPr>
    </w:p>
    <w:p w14:paraId="0736FF39" w14:textId="5CE078AB" w:rsidR="000F5970" w:rsidRDefault="00855C56" w:rsidP="0091644F">
      <w:pPr>
        <w:pBdr>
          <w:top w:val="nil"/>
          <w:left w:val="nil"/>
          <w:bottom w:val="nil"/>
          <w:right w:val="nil"/>
          <w:between w:val="nil"/>
        </w:pBdr>
        <w:spacing w:after="0"/>
        <w:jc w:val="both"/>
        <w:rPr>
          <w:rFonts w:ascii="Arial" w:eastAsia="Aptos" w:hAnsi="Arial" w:cs="Arial"/>
          <w:bCs/>
          <w:color w:val="000000"/>
        </w:rPr>
      </w:pPr>
      <w:r w:rsidRPr="00855C56">
        <w:rPr>
          <w:rFonts w:ascii="Arial" w:eastAsia="Aptos" w:hAnsi="Arial" w:cs="Arial"/>
          <w:bCs/>
          <w:color w:val="000000"/>
        </w:rPr>
        <w:t>Entre los ítems incluidos en el cuestionario se</w:t>
      </w:r>
      <w:r>
        <w:rPr>
          <w:rFonts w:ascii="Arial" w:eastAsia="Aptos" w:hAnsi="Arial" w:cs="Arial"/>
          <w:bCs/>
          <w:color w:val="000000"/>
        </w:rPr>
        <w:t xml:space="preserve"> averiguó</w:t>
      </w:r>
      <w:r w:rsidRPr="00855C56">
        <w:rPr>
          <w:rFonts w:ascii="Arial" w:eastAsia="Aptos" w:hAnsi="Arial" w:cs="Arial"/>
          <w:bCs/>
          <w:color w:val="000000"/>
        </w:rPr>
        <w:t xml:space="preserve">, específicamente, la percepción de los estudiantes respecto a la contribución de recursos como </w:t>
      </w:r>
      <w:proofErr w:type="spellStart"/>
      <w:r w:rsidRPr="00855C56">
        <w:rPr>
          <w:rFonts w:ascii="Arial" w:eastAsia="Aptos" w:hAnsi="Arial" w:cs="Arial"/>
          <w:bCs/>
          <w:color w:val="000000"/>
        </w:rPr>
        <w:t>Canva</w:t>
      </w:r>
      <w:proofErr w:type="spellEnd"/>
      <w:r w:rsidRPr="00855C56">
        <w:rPr>
          <w:rFonts w:ascii="Arial" w:eastAsia="Aptos" w:hAnsi="Arial" w:cs="Arial"/>
          <w:bCs/>
          <w:color w:val="000000"/>
        </w:rPr>
        <w:t xml:space="preserve">, </w:t>
      </w:r>
      <w:proofErr w:type="spellStart"/>
      <w:r w:rsidRPr="00855C56">
        <w:rPr>
          <w:rFonts w:ascii="Arial" w:eastAsia="Aptos" w:hAnsi="Arial" w:cs="Arial"/>
          <w:bCs/>
          <w:color w:val="000000"/>
        </w:rPr>
        <w:t>Genially</w:t>
      </w:r>
      <w:proofErr w:type="spellEnd"/>
      <w:r w:rsidRPr="00855C56">
        <w:rPr>
          <w:rFonts w:ascii="Arial" w:eastAsia="Aptos" w:hAnsi="Arial" w:cs="Arial"/>
          <w:bCs/>
          <w:color w:val="000000"/>
        </w:rPr>
        <w:t xml:space="preserve"> y PowerPoint. Algunos de los enunciados consultados fueron: </w:t>
      </w:r>
      <w:r w:rsidR="00813F53">
        <w:rPr>
          <w:rFonts w:ascii="Arial" w:eastAsia="Aptos" w:hAnsi="Arial" w:cs="Arial"/>
          <w:bCs/>
          <w:color w:val="000000"/>
        </w:rPr>
        <w:t>¿</w:t>
      </w:r>
      <w:r w:rsidRPr="00855C56">
        <w:rPr>
          <w:rFonts w:ascii="Arial" w:eastAsia="Aptos" w:hAnsi="Arial" w:cs="Arial"/>
          <w:bCs/>
          <w:color w:val="000000"/>
        </w:rPr>
        <w:t xml:space="preserve">El uso de herramientas como </w:t>
      </w:r>
      <w:proofErr w:type="spellStart"/>
      <w:r w:rsidRPr="00855C56">
        <w:rPr>
          <w:rFonts w:ascii="Arial" w:eastAsia="Aptos" w:hAnsi="Arial" w:cs="Arial"/>
          <w:bCs/>
          <w:color w:val="000000"/>
        </w:rPr>
        <w:t>Canva</w:t>
      </w:r>
      <w:proofErr w:type="spellEnd"/>
      <w:r w:rsidRPr="00855C56">
        <w:rPr>
          <w:rFonts w:ascii="Arial" w:eastAsia="Aptos" w:hAnsi="Arial" w:cs="Arial"/>
          <w:bCs/>
          <w:color w:val="000000"/>
        </w:rPr>
        <w:t xml:space="preserve"> para diseñar materiales facilitó mi aprendizaje</w:t>
      </w:r>
      <w:r w:rsidR="00813F53">
        <w:rPr>
          <w:rFonts w:ascii="Arial" w:eastAsia="Aptos" w:hAnsi="Arial" w:cs="Arial"/>
          <w:bCs/>
          <w:color w:val="000000"/>
        </w:rPr>
        <w:t>? ¿</w:t>
      </w:r>
      <w:r w:rsidRPr="00855C56">
        <w:rPr>
          <w:rFonts w:ascii="Arial" w:eastAsia="Aptos" w:hAnsi="Arial" w:cs="Arial"/>
          <w:bCs/>
          <w:color w:val="000000"/>
        </w:rPr>
        <w:t xml:space="preserve">Elaborar presentaciones con </w:t>
      </w:r>
      <w:proofErr w:type="spellStart"/>
      <w:r w:rsidRPr="00855C56">
        <w:rPr>
          <w:rFonts w:ascii="Arial" w:eastAsia="Aptos" w:hAnsi="Arial" w:cs="Arial"/>
          <w:bCs/>
          <w:color w:val="000000"/>
        </w:rPr>
        <w:t>Genially</w:t>
      </w:r>
      <w:proofErr w:type="spellEnd"/>
      <w:r w:rsidRPr="00855C56">
        <w:rPr>
          <w:rFonts w:ascii="Arial" w:eastAsia="Aptos" w:hAnsi="Arial" w:cs="Arial"/>
          <w:bCs/>
          <w:color w:val="000000"/>
        </w:rPr>
        <w:t xml:space="preserve"> me permitió organizar la información de forma clara</w:t>
      </w:r>
      <w:r w:rsidR="00813F53">
        <w:rPr>
          <w:rFonts w:ascii="Arial" w:eastAsia="Aptos" w:hAnsi="Arial" w:cs="Arial"/>
          <w:bCs/>
          <w:color w:val="000000"/>
        </w:rPr>
        <w:t>? ¿</w:t>
      </w:r>
      <w:r w:rsidRPr="00855C56">
        <w:rPr>
          <w:rFonts w:ascii="Arial" w:eastAsia="Aptos" w:hAnsi="Arial" w:cs="Arial"/>
          <w:bCs/>
          <w:color w:val="000000"/>
        </w:rPr>
        <w:t>Elaborar presentaciones con PowerPoint me permitió organizar la información de forma clara</w:t>
      </w:r>
      <w:r w:rsidR="00813F53">
        <w:rPr>
          <w:rFonts w:ascii="Arial" w:eastAsia="Aptos" w:hAnsi="Arial" w:cs="Arial"/>
          <w:bCs/>
          <w:color w:val="000000"/>
        </w:rPr>
        <w:t>?</w:t>
      </w:r>
    </w:p>
    <w:p w14:paraId="10D429A7" w14:textId="3D9E913F" w:rsidR="0091644F" w:rsidRPr="0091644F" w:rsidRDefault="0091644F" w:rsidP="0091644F">
      <w:pPr>
        <w:pBdr>
          <w:top w:val="nil"/>
          <w:left w:val="nil"/>
          <w:bottom w:val="nil"/>
          <w:right w:val="nil"/>
          <w:between w:val="nil"/>
        </w:pBdr>
        <w:spacing w:after="0"/>
        <w:jc w:val="both"/>
        <w:rPr>
          <w:rFonts w:ascii="Arial" w:eastAsia="Aptos" w:hAnsi="Arial" w:cs="Arial"/>
          <w:bCs/>
          <w:color w:val="000000"/>
        </w:rPr>
      </w:pPr>
      <w:r w:rsidRPr="0091644F">
        <w:rPr>
          <w:rFonts w:ascii="Arial" w:eastAsia="Aptos" w:hAnsi="Arial" w:cs="Arial"/>
          <w:bCs/>
          <w:color w:val="000000"/>
        </w:rPr>
        <w:t>Los datos obtenidos se recopilaron y analizaron de manera cuantitativa para describir tendencias y niveles de acuerdo. Se garantizó la participación voluntaria y el anonimato de las respuestas.</w:t>
      </w:r>
    </w:p>
    <w:p w14:paraId="025E730E" w14:textId="77777777" w:rsidR="0091644F" w:rsidRDefault="0091644F" w:rsidP="00B94F1A">
      <w:pPr>
        <w:pBdr>
          <w:top w:val="nil"/>
          <w:left w:val="nil"/>
          <w:bottom w:val="nil"/>
          <w:right w:val="nil"/>
          <w:between w:val="nil"/>
        </w:pBdr>
        <w:spacing w:after="0"/>
        <w:rPr>
          <w:rFonts w:ascii="Arial" w:eastAsia="Aptos" w:hAnsi="Arial" w:cs="Arial"/>
          <w:b/>
          <w:color w:val="000000"/>
        </w:rPr>
      </w:pPr>
    </w:p>
    <w:p w14:paraId="0898913C" w14:textId="52A86EE4" w:rsid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RESULTADOS Y DISCUSIÓN</w:t>
      </w:r>
    </w:p>
    <w:p w14:paraId="67FD6A9D" w14:textId="77777777" w:rsidR="00872440" w:rsidRDefault="00872440" w:rsidP="00B94F1A">
      <w:pPr>
        <w:pBdr>
          <w:top w:val="nil"/>
          <w:left w:val="nil"/>
          <w:bottom w:val="nil"/>
          <w:right w:val="nil"/>
          <w:between w:val="nil"/>
        </w:pBdr>
        <w:spacing w:after="0"/>
        <w:rPr>
          <w:rFonts w:ascii="Arial" w:eastAsia="Aptos" w:hAnsi="Arial" w:cs="Arial"/>
          <w:b/>
          <w:color w:val="000000"/>
        </w:rPr>
      </w:pPr>
    </w:p>
    <w:p w14:paraId="16CE1886" w14:textId="77777777" w:rsidR="00F87022" w:rsidRPr="00F87022" w:rsidRDefault="00F87022" w:rsidP="00F87022">
      <w:pPr>
        <w:pBdr>
          <w:top w:val="nil"/>
          <w:left w:val="nil"/>
          <w:bottom w:val="nil"/>
          <w:right w:val="nil"/>
          <w:between w:val="nil"/>
        </w:pBdr>
        <w:spacing w:after="0"/>
        <w:jc w:val="both"/>
        <w:rPr>
          <w:rFonts w:ascii="Arial" w:hAnsi="Arial" w:cs="Arial"/>
          <w:color w:val="000000"/>
        </w:rPr>
      </w:pPr>
      <w:r w:rsidRPr="00F87022">
        <w:rPr>
          <w:rFonts w:ascii="Arial" w:hAnsi="Arial" w:cs="Arial"/>
          <w:color w:val="000000"/>
        </w:rPr>
        <w:t xml:space="preserve">El relevamiento realizado en la asignatura Fisiología Humana (N = 128) evidenció que los estudiantes utilizan diversas herramientas digitales para la elaboración de presentaciones académicas, destacándose PowerPoint, </w:t>
      </w:r>
      <w:proofErr w:type="spellStart"/>
      <w:r w:rsidRPr="00F87022">
        <w:rPr>
          <w:rFonts w:ascii="Arial" w:hAnsi="Arial" w:cs="Arial"/>
          <w:color w:val="000000"/>
        </w:rPr>
        <w:t>Canva</w:t>
      </w:r>
      <w:proofErr w:type="spellEnd"/>
      <w:r w:rsidRPr="00F87022">
        <w:rPr>
          <w:rFonts w:ascii="Arial" w:hAnsi="Arial" w:cs="Arial"/>
          <w:color w:val="000000"/>
        </w:rPr>
        <w:t xml:space="preserve"> y </w:t>
      </w:r>
      <w:proofErr w:type="spellStart"/>
      <w:r w:rsidRPr="00F87022">
        <w:rPr>
          <w:rFonts w:ascii="Arial" w:hAnsi="Arial" w:cs="Arial"/>
          <w:color w:val="000000"/>
        </w:rPr>
        <w:t>Genially</w:t>
      </w:r>
      <w:proofErr w:type="spellEnd"/>
      <w:r w:rsidRPr="00F87022">
        <w:rPr>
          <w:rFonts w:ascii="Arial" w:hAnsi="Arial" w:cs="Arial"/>
          <w:color w:val="000000"/>
        </w:rPr>
        <w:t xml:space="preserve"> como las principales opciones elegidas.</w:t>
      </w:r>
    </w:p>
    <w:p w14:paraId="7B8F907D" w14:textId="77777777" w:rsidR="00F87022" w:rsidRPr="00F87022" w:rsidRDefault="00F87022" w:rsidP="00F87022">
      <w:pPr>
        <w:pBdr>
          <w:top w:val="nil"/>
          <w:left w:val="nil"/>
          <w:bottom w:val="nil"/>
          <w:right w:val="nil"/>
          <w:between w:val="nil"/>
        </w:pBdr>
        <w:spacing w:after="0"/>
        <w:jc w:val="both"/>
        <w:rPr>
          <w:rFonts w:ascii="Arial" w:hAnsi="Arial" w:cs="Arial"/>
          <w:color w:val="000000"/>
        </w:rPr>
      </w:pPr>
    </w:p>
    <w:p w14:paraId="4DA6F402" w14:textId="77777777" w:rsidR="00F87022" w:rsidRPr="00F87022" w:rsidRDefault="00F87022" w:rsidP="00F87022">
      <w:pPr>
        <w:pBdr>
          <w:top w:val="nil"/>
          <w:left w:val="nil"/>
          <w:bottom w:val="nil"/>
          <w:right w:val="nil"/>
          <w:between w:val="nil"/>
        </w:pBdr>
        <w:spacing w:after="0"/>
        <w:jc w:val="both"/>
        <w:rPr>
          <w:rFonts w:ascii="Arial" w:hAnsi="Arial" w:cs="Arial"/>
          <w:color w:val="000000"/>
        </w:rPr>
      </w:pPr>
      <w:r w:rsidRPr="00F87022">
        <w:rPr>
          <w:rFonts w:ascii="Arial" w:hAnsi="Arial" w:cs="Arial"/>
          <w:color w:val="000000"/>
        </w:rPr>
        <w:t xml:space="preserve">En cuanto a la percepción de su impacto en el aprendizaje, el 46,1 % de los encuestados manifestó estar totalmente de acuerdo en que utilizar </w:t>
      </w:r>
      <w:proofErr w:type="spellStart"/>
      <w:r w:rsidRPr="00F87022">
        <w:rPr>
          <w:rFonts w:ascii="Arial" w:hAnsi="Arial" w:cs="Arial"/>
          <w:color w:val="000000"/>
        </w:rPr>
        <w:t>Canva</w:t>
      </w:r>
      <w:proofErr w:type="spellEnd"/>
      <w:r w:rsidRPr="00F87022">
        <w:rPr>
          <w:rFonts w:ascii="Arial" w:hAnsi="Arial" w:cs="Arial"/>
          <w:color w:val="000000"/>
        </w:rPr>
        <w:t xml:space="preserve"> facilitó el diseño de </w:t>
      </w:r>
      <w:r w:rsidRPr="00F87022">
        <w:rPr>
          <w:rFonts w:ascii="Arial" w:hAnsi="Arial" w:cs="Arial"/>
          <w:color w:val="000000"/>
        </w:rPr>
        <w:lastRenderedPageBreak/>
        <w:t>materiales y contribuyó a una mejor comprensión de los contenidos, mientras que un 24,2 % se mostró de acuerdo. Solo un 12,5 % expresó desacuerdo o total desacuerdo, lo que refleja una valoración ampliamente positiva de esta herramienta.</w:t>
      </w:r>
    </w:p>
    <w:p w14:paraId="18EBE073" w14:textId="77777777" w:rsidR="00F87022" w:rsidRPr="00F87022" w:rsidRDefault="00F87022" w:rsidP="00F87022">
      <w:pPr>
        <w:pBdr>
          <w:top w:val="nil"/>
          <w:left w:val="nil"/>
          <w:bottom w:val="nil"/>
          <w:right w:val="nil"/>
          <w:between w:val="nil"/>
        </w:pBdr>
        <w:spacing w:after="0"/>
        <w:jc w:val="both"/>
        <w:rPr>
          <w:rFonts w:ascii="Arial" w:hAnsi="Arial" w:cs="Arial"/>
          <w:color w:val="000000"/>
        </w:rPr>
      </w:pPr>
    </w:p>
    <w:p w14:paraId="2C0E4896" w14:textId="6E44D611" w:rsidR="00F87022" w:rsidRPr="00F87022" w:rsidRDefault="00F87022" w:rsidP="00F87022">
      <w:pPr>
        <w:pBdr>
          <w:top w:val="nil"/>
          <w:left w:val="nil"/>
          <w:bottom w:val="nil"/>
          <w:right w:val="nil"/>
          <w:between w:val="nil"/>
        </w:pBdr>
        <w:spacing w:after="0"/>
        <w:jc w:val="both"/>
        <w:rPr>
          <w:rFonts w:ascii="Arial" w:hAnsi="Arial" w:cs="Arial"/>
          <w:color w:val="000000"/>
        </w:rPr>
      </w:pPr>
      <w:r w:rsidRPr="00F87022">
        <w:rPr>
          <w:rFonts w:ascii="Arial" w:hAnsi="Arial" w:cs="Arial"/>
          <w:color w:val="000000"/>
        </w:rPr>
        <w:t xml:space="preserve">En relación con </w:t>
      </w:r>
      <w:proofErr w:type="spellStart"/>
      <w:r w:rsidRPr="00F87022">
        <w:rPr>
          <w:rFonts w:ascii="Arial" w:hAnsi="Arial" w:cs="Arial"/>
          <w:color w:val="000000"/>
        </w:rPr>
        <w:t>Genially</w:t>
      </w:r>
      <w:proofErr w:type="spellEnd"/>
      <w:r w:rsidRPr="00F87022">
        <w:rPr>
          <w:rFonts w:ascii="Arial" w:hAnsi="Arial" w:cs="Arial"/>
          <w:color w:val="000000"/>
        </w:rPr>
        <w:t>, las opiniones fueron más diversas: el 16,4 % estuvo totalmente de acuerdo en que esta herramienta permitió organizar la información de forma clara</w:t>
      </w:r>
      <w:r w:rsidR="00855C56">
        <w:rPr>
          <w:rFonts w:ascii="Arial" w:hAnsi="Arial" w:cs="Arial"/>
          <w:color w:val="000000"/>
        </w:rPr>
        <w:t xml:space="preserve">, </w:t>
      </w:r>
      <w:r w:rsidRPr="00F87022">
        <w:rPr>
          <w:rFonts w:ascii="Arial" w:hAnsi="Arial" w:cs="Arial"/>
          <w:color w:val="000000"/>
        </w:rPr>
        <w:t>un 18 % se mostró de acuerdo</w:t>
      </w:r>
      <w:r w:rsidR="00855C56">
        <w:rPr>
          <w:rFonts w:ascii="Arial" w:hAnsi="Arial" w:cs="Arial"/>
          <w:color w:val="000000"/>
        </w:rPr>
        <w:t>. S</w:t>
      </w:r>
      <w:r w:rsidRPr="00F87022">
        <w:rPr>
          <w:rFonts w:ascii="Arial" w:hAnsi="Arial" w:cs="Arial"/>
          <w:color w:val="000000"/>
        </w:rPr>
        <w:t>in embargo, un 40,7 % manifestó desacuerdo o total desacuerdo, lo que sugiere la necesidad de fortalecer la capacitación en su uso para maximizar su potencial didáctico.</w:t>
      </w:r>
    </w:p>
    <w:p w14:paraId="3B036DCC" w14:textId="77777777" w:rsidR="00F87022" w:rsidRPr="00F87022" w:rsidRDefault="00F87022" w:rsidP="00F87022">
      <w:pPr>
        <w:pBdr>
          <w:top w:val="nil"/>
          <w:left w:val="nil"/>
          <w:bottom w:val="nil"/>
          <w:right w:val="nil"/>
          <w:between w:val="nil"/>
        </w:pBdr>
        <w:spacing w:after="0"/>
        <w:jc w:val="both"/>
        <w:rPr>
          <w:rFonts w:ascii="Arial" w:hAnsi="Arial" w:cs="Arial"/>
          <w:color w:val="000000"/>
        </w:rPr>
      </w:pPr>
    </w:p>
    <w:p w14:paraId="0D97F3A5" w14:textId="77777777" w:rsidR="00F87022" w:rsidRPr="00F87022" w:rsidRDefault="00F87022" w:rsidP="00F87022">
      <w:pPr>
        <w:pBdr>
          <w:top w:val="nil"/>
          <w:left w:val="nil"/>
          <w:bottom w:val="nil"/>
          <w:right w:val="nil"/>
          <w:between w:val="nil"/>
        </w:pBdr>
        <w:spacing w:after="0"/>
        <w:jc w:val="both"/>
        <w:rPr>
          <w:rFonts w:ascii="Arial" w:hAnsi="Arial" w:cs="Arial"/>
          <w:color w:val="000000"/>
        </w:rPr>
      </w:pPr>
      <w:r w:rsidRPr="00F87022">
        <w:rPr>
          <w:rFonts w:ascii="Arial" w:hAnsi="Arial" w:cs="Arial"/>
          <w:color w:val="000000"/>
        </w:rPr>
        <w:t>Por su parte, PowerPoint se mantuvo como la herramienta con mayor aceptación: el 41,4 % indicó estar totalmente de acuerdo y el 24,2 % de acuerdo en que facilita la organización de la información, sumando así un 65,6 % de respuestas favorables, frente a solo un 14,9 % de opiniones negativas.</w:t>
      </w:r>
    </w:p>
    <w:p w14:paraId="196AADD3" w14:textId="77777777" w:rsidR="00F87022" w:rsidRPr="00F87022" w:rsidRDefault="00F87022" w:rsidP="00F87022">
      <w:pPr>
        <w:pBdr>
          <w:top w:val="nil"/>
          <w:left w:val="nil"/>
          <w:bottom w:val="nil"/>
          <w:right w:val="nil"/>
          <w:between w:val="nil"/>
        </w:pBdr>
        <w:spacing w:after="0"/>
        <w:jc w:val="both"/>
        <w:rPr>
          <w:rFonts w:ascii="Arial" w:hAnsi="Arial" w:cs="Arial"/>
          <w:color w:val="000000"/>
        </w:rPr>
      </w:pPr>
    </w:p>
    <w:p w14:paraId="2C9B49ED" w14:textId="77BD5DD0" w:rsidR="00F87022" w:rsidRPr="00F87022" w:rsidRDefault="00F87022" w:rsidP="00F87022">
      <w:pPr>
        <w:pBdr>
          <w:top w:val="nil"/>
          <w:left w:val="nil"/>
          <w:bottom w:val="nil"/>
          <w:right w:val="nil"/>
          <w:between w:val="nil"/>
        </w:pBdr>
        <w:spacing w:after="0"/>
        <w:jc w:val="both"/>
        <w:rPr>
          <w:rFonts w:ascii="Arial" w:hAnsi="Arial" w:cs="Arial"/>
          <w:color w:val="000000"/>
        </w:rPr>
      </w:pPr>
      <w:r w:rsidRPr="00F87022">
        <w:rPr>
          <w:rFonts w:ascii="Arial" w:hAnsi="Arial" w:cs="Arial"/>
          <w:color w:val="000000"/>
        </w:rPr>
        <w:t>Estos resultados se alinean con hallazgos de estudios recientes</w:t>
      </w:r>
      <w:r w:rsidR="00F41FA7">
        <w:rPr>
          <w:rFonts w:ascii="Arial" w:hAnsi="Arial" w:cs="Arial"/>
          <w:color w:val="000000"/>
        </w:rPr>
        <w:t xml:space="preserve"> como </w:t>
      </w:r>
      <w:r w:rsidRPr="00F87022">
        <w:rPr>
          <w:rFonts w:ascii="Arial" w:hAnsi="Arial" w:cs="Arial"/>
          <w:color w:val="000000"/>
        </w:rPr>
        <w:t xml:space="preserve">Oyarvide Estupiñán et al. (2024) destacan que factores como el acceso a la tecnología, la formación digital y el apoyo institucional son determinantes para la adopción de herramientas digitales. Pazmiño Campuzano et al. (2022) evidencian que la integración de TIC en contextos educativos incide positivamente en el rendimiento académico cuando se articula con una planificación adecuada y docentes capacitados. Además, Otero-Escobar (2025) señala que la implementación de formatos innovadores de exposición, como videos, </w:t>
      </w:r>
      <w:proofErr w:type="spellStart"/>
      <w:r w:rsidRPr="00F87022">
        <w:rPr>
          <w:rFonts w:ascii="Arial" w:hAnsi="Arial" w:cs="Arial"/>
          <w:color w:val="000000"/>
        </w:rPr>
        <w:t>reels</w:t>
      </w:r>
      <w:proofErr w:type="spellEnd"/>
      <w:r w:rsidRPr="00F87022">
        <w:rPr>
          <w:rFonts w:ascii="Arial" w:hAnsi="Arial" w:cs="Arial"/>
          <w:color w:val="000000"/>
        </w:rPr>
        <w:t>, podcasts y recursos interactivos, potencia la motivación, mejora la comprensión y fomenta el desarrollo de habilidades comunicativas y creativas, reforzando la importancia de diversificar las estrategias pedagógicas.</w:t>
      </w:r>
    </w:p>
    <w:p w14:paraId="5C6FCD81" w14:textId="77777777" w:rsidR="00F87022" w:rsidRPr="00F87022" w:rsidRDefault="00F87022" w:rsidP="00F87022">
      <w:pPr>
        <w:pBdr>
          <w:top w:val="nil"/>
          <w:left w:val="nil"/>
          <w:bottom w:val="nil"/>
          <w:right w:val="nil"/>
          <w:between w:val="nil"/>
        </w:pBdr>
        <w:spacing w:after="0"/>
        <w:jc w:val="both"/>
        <w:rPr>
          <w:rFonts w:ascii="Arial" w:hAnsi="Arial" w:cs="Arial"/>
          <w:color w:val="000000"/>
        </w:rPr>
      </w:pPr>
    </w:p>
    <w:p w14:paraId="482BC7D9" w14:textId="77777777" w:rsidR="00F87022" w:rsidRPr="00F87022" w:rsidRDefault="00F87022" w:rsidP="00F87022">
      <w:pPr>
        <w:pBdr>
          <w:top w:val="nil"/>
          <w:left w:val="nil"/>
          <w:bottom w:val="nil"/>
          <w:right w:val="nil"/>
          <w:between w:val="nil"/>
        </w:pBdr>
        <w:spacing w:after="0"/>
        <w:jc w:val="both"/>
        <w:rPr>
          <w:rFonts w:ascii="Arial" w:hAnsi="Arial" w:cs="Arial"/>
          <w:color w:val="000000"/>
        </w:rPr>
      </w:pPr>
      <w:r w:rsidRPr="00F87022">
        <w:rPr>
          <w:rFonts w:ascii="Arial" w:hAnsi="Arial" w:cs="Arial"/>
          <w:color w:val="000000"/>
        </w:rPr>
        <w:t>Sin embargo, tanto el relevamiento como la literatura coinciden en advertir desafíos persistentes, como la desigualdad en el acceso a recursos tecnológicos, la necesidad de capacitación específica y las dificultades asociadas a la edición de contenidos y el trabajo colaborativo. Estos aspectos subrayan la importancia de fortalecer la formación en competencias digitales, garantizar la equidad en la disponibilidad de tecnología y promover entornos de aprendizaje participativos y dinámicos.</w:t>
      </w:r>
    </w:p>
    <w:p w14:paraId="529E9E95" w14:textId="77777777" w:rsidR="00F87022" w:rsidRPr="00F87022" w:rsidRDefault="00F87022" w:rsidP="00F87022">
      <w:pPr>
        <w:pBdr>
          <w:top w:val="nil"/>
          <w:left w:val="nil"/>
          <w:bottom w:val="nil"/>
          <w:right w:val="nil"/>
          <w:between w:val="nil"/>
        </w:pBdr>
        <w:spacing w:after="0"/>
        <w:jc w:val="both"/>
        <w:rPr>
          <w:rFonts w:ascii="Arial" w:hAnsi="Arial" w:cs="Arial"/>
          <w:color w:val="000000"/>
        </w:rPr>
      </w:pPr>
    </w:p>
    <w:p w14:paraId="3ECD15CE" w14:textId="2A36904C" w:rsidR="00B94F1A" w:rsidRPr="00B94F1A" w:rsidRDefault="00F87022" w:rsidP="00F87022">
      <w:pPr>
        <w:pBdr>
          <w:top w:val="nil"/>
          <w:left w:val="nil"/>
          <w:bottom w:val="nil"/>
          <w:right w:val="nil"/>
          <w:between w:val="nil"/>
        </w:pBdr>
        <w:spacing w:after="0"/>
        <w:jc w:val="both"/>
        <w:rPr>
          <w:rFonts w:ascii="Arial" w:hAnsi="Arial" w:cs="Arial"/>
          <w:color w:val="000000"/>
        </w:rPr>
      </w:pPr>
      <w:r w:rsidRPr="00F87022">
        <w:rPr>
          <w:rFonts w:ascii="Arial" w:hAnsi="Arial" w:cs="Arial"/>
          <w:color w:val="000000"/>
        </w:rPr>
        <w:t>En síntesis, los resultados resaltan que la integración de herramientas digitales y formatos innovadores contribuye a motivar a los estudiantes, facilita la organización de la información y favorece un aprendizaje más significativo. No obstante, su implementación requiere de una estrategia pedagógica adecuada, acompañada de políticas institucionales que aseguren su uso efectivo y equitativo.</w:t>
      </w:r>
    </w:p>
    <w:p w14:paraId="3AF20BEB" w14:textId="77777777" w:rsidR="00F41FA7" w:rsidRDefault="00F41FA7" w:rsidP="00B94F1A">
      <w:pPr>
        <w:pBdr>
          <w:top w:val="nil"/>
          <w:left w:val="nil"/>
          <w:bottom w:val="nil"/>
          <w:right w:val="nil"/>
          <w:between w:val="nil"/>
        </w:pBdr>
        <w:spacing w:after="0"/>
        <w:rPr>
          <w:rFonts w:ascii="Arial" w:eastAsia="Aptos" w:hAnsi="Arial" w:cs="Arial"/>
          <w:b/>
          <w:color w:val="000000"/>
        </w:rPr>
      </w:pPr>
    </w:p>
    <w:p w14:paraId="5CCA5960" w14:textId="36C4E781"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 xml:space="preserve">CONCLUSIONES </w:t>
      </w:r>
    </w:p>
    <w:p w14:paraId="1292B2D5" w14:textId="77777777" w:rsidR="00F87022" w:rsidRPr="00F87022" w:rsidRDefault="00F87022" w:rsidP="00F87022">
      <w:pPr>
        <w:spacing w:beforeLines="20" w:before="48" w:after="0"/>
        <w:jc w:val="both"/>
        <w:rPr>
          <w:rFonts w:ascii="Arial" w:eastAsia="Arial" w:hAnsi="Arial" w:cs="Arial"/>
        </w:rPr>
      </w:pPr>
      <w:r w:rsidRPr="00F87022">
        <w:rPr>
          <w:rFonts w:ascii="Arial" w:eastAsia="Arial" w:hAnsi="Arial" w:cs="Arial"/>
        </w:rPr>
        <w:t xml:space="preserve">Los resultados obtenidos en la asignatura Fisiología Humana confirman que la incorporación de herramientas digitales y formatos innovadores para la elaboración de presentaciones académicas tiene un impacto positivo en la organización de la información, la motivación y la comprensión de los contenidos por parte de los estudiantes. Herramientas como </w:t>
      </w:r>
      <w:proofErr w:type="spellStart"/>
      <w:r w:rsidRPr="00F87022">
        <w:rPr>
          <w:rFonts w:ascii="Arial" w:eastAsia="Arial" w:hAnsi="Arial" w:cs="Arial"/>
        </w:rPr>
        <w:t>Canva</w:t>
      </w:r>
      <w:proofErr w:type="spellEnd"/>
      <w:r w:rsidRPr="00F87022">
        <w:rPr>
          <w:rFonts w:ascii="Arial" w:eastAsia="Arial" w:hAnsi="Arial" w:cs="Arial"/>
        </w:rPr>
        <w:t xml:space="preserve"> y PowerPoint muestran altos niveles de aceptación y valoración, mientras que </w:t>
      </w:r>
      <w:proofErr w:type="spellStart"/>
      <w:r w:rsidRPr="00F87022">
        <w:rPr>
          <w:rFonts w:ascii="Arial" w:eastAsia="Arial" w:hAnsi="Arial" w:cs="Arial"/>
        </w:rPr>
        <w:t>Genially</w:t>
      </w:r>
      <w:proofErr w:type="spellEnd"/>
      <w:r w:rsidRPr="00F87022">
        <w:rPr>
          <w:rFonts w:ascii="Arial" w:eastAsia="Arial" w:hAnsi="Arial" w:cs="Arial"/>
        </w:rPr>
        <w:t>, aunque con opiniones más dispersas, representa una oportunidad de potenciar la creatividad y la interactividad cuando se acompaña de una capacitación adecuada.</w:t>
      </w:r>
    </w:p>
    <w:p w14:paraId="49DF11B2" w14:textId="77777777" w:rsidR="00F87022" w:rsidRPr="00F87022" w:rsidRDefault="00F87022" w:rsidP="00F87022">
      <w:pPr>
        <w:spacing w:beforeLines="20" w:before="48" w:after="0"/>
        <w:jc w:val="both"/>
        <w:rPr>
          <w:rFonts w:ascii="Arial" w:eastAsia="Arial" w:hAnsi="Arial" w:cs="Arial"/>
        </w:rPr>
      </w:pPr>
      <w:r w:rsidRPr="00F87022">
        <w:rPr>
          <w:rFonts w:ascii="Arial" w:eastAsia="Arial" w:hAnsi="Arial" w:cs="Arial"/>
        </w:rPr>
        <w:t xml:space="preserve">Estos hallazgos, respaldados por estudios recientes, destacan la necesidad de continuar fortaleciendo la formación en competencias digitales de estudiantes y docentes, así como de garantizar el acceso equitativo a recursos tecnológicos. Asimismo, se enfatiza la </w:t>
      </w:r>
      <w:r w:rsidRPr="00F87022">
        <w:rPr>
          <w:rFonts w:ascii="Arial" w:eastAsia="Arial" w:hAnsi="Arial" w:cs="Arial"/>
        </w:rPr>
        <w:lastRenderedPageBreak/>
        <w:t>importancia de diseñar estrategias pedagógicas que integren de forma significativa recursos interactivos y formatos dinámicos, alineados a metodologías activas centradas en el estudiante.</w:t>
      </w:r>
    </w:p>
    <w:p w14:paraId="372215BD" w14:textId="77777777" w:rsidR="00F87022" w:rsidRPr="00F87022" w:rsidRDefault="00F87022" w:rsidP="00F87022">
      <w:pPr>
        <w:spacing w:beforeLines="20" w:before="48" w:after="0"/>
        <w:jc w:val="both"/>
        <w:rPr>
          <w:rFonts w:ascii="Arial" w:eastAsia="Arial" w:hAnsi="Arial" w:cs="Arial"/>
        </w:rPr>
      </w:pPr>
      <w:r w:rsidRPr="00F87022">
        <w:rPr>
          <w:rFonts w:ascii="Arial" w:eastAsia="Arial" w:hAnsi="Arial" w:cs="Arial"/>
        </w:rPr>
        <w:t>En este sentido, se recomienda promover políticas institucionales que fomenten la innovación didáctica, acompañadas de instancias de actualización docente y espacios de retroalimentación que permitan explorar nuevas formas de presentación de contenidos, aprovechando herramientas digitales emergentes y tendencias como la inteligencia artificial.</w:t>
      </w:r>
    </w:p>
    <w:p w14:paraId="35282A6E" w14:textId="77777777" w:rsidR="00F87022" w:rsidRPr="00F87022" w:rsidRDefault="00F87022" w:rsidP="00F87022">
      <w:pPr>
        <w:spacing w:beforeLines="20" w:before="48" w:after="0"/>
        <w:jc w:val="both"/>
        <w:rPr>
          <w:rFonts w:ascii="Arial" w:eastAsia="Arial" w:hAnsi="Arial" w:cs="Arial"/>
        </w:rPr>
      </w:pPr>
      <w:r w:rsidRPr="00F87022">
        <w:rPr>
          <w:rFonts w:ascii="Arial" w:eastAsia="Arial" w:hAnsi="Arial" w:cs="Arial"/>
        </w:rPr>
        <w:t>En conjunto, estos elementos contribuyen a enriquecer la experiencia de aprendizaje, a desarrollar habilidades clave para la formación profesional y a responder a las demandas de contextos educativos cada vez más digitalizados.</w:t>
      </w:r>
    </w:p>
    <w:p w14:paraId="687A8DF3" w14:textId="77777777" w:rsidR="00F87022" w:rsidRDefault="00F87022" w:rsidP="00B94F1A">
      <w:pPr>
        <w:spacing w:beforeLines="20" w:before="48" w:after="0"/>
        <w:jc w:val="both"/>
        <w:rPr>
          <w:rFonts w:ascii="Arial" w:eastAsia="Arial" w:hAnsi="Arial" w:cs="Arial"/>
        </w:rPr>
      </w:pPr>
    </w:p>
    <w:p w14:paraId="02A2AB17" w14:textId="77777777" w:rsidR="00F87022" w:rsidRDefault="00F87022" w:rsidP="00B94F1A">
      <w:pPr>
        <w:spacing w:beforeLines="20" w:before="48" w:after="0"/>
        <w:jc w:val="both"/>
        <w:rPr>
          <w:rFonts w:ascii="Arial" w:eastAsia="Arial" w:hAnsi="Arial" w:cs="Arial"/>
        </w:rPr>
      </w:pPr>
    </w:p>
    <w:p w14:paraId="144033E7" w14:textId="77777777" w:rsidR="00F87022" w:rsidRDefault="00F87022" w:rsidP="00B94F1A">
      <w:pPr>
        <w:spacing w:beforeLines="20" w:before="48" w:after="0"/>
        <w:jc w:val="both"/>
        <w:rPr>
          <w:rFonts w:ascii="Arial" w:eastAsia="Arial" w:hAnsi="Arial" w:cs="Arial"/>
        </w:rPr>
      </w:pPr>
    </w:p>
    <w:p w14:paraId="3495E32B" w14:textId="77777777" w:rsidR="00B94F1A" w:rsidRPr="008F6BB6" w:rsidRDefault="00B94F1A" w:rsidP="00B94F1A">
      <w:pPr>
        <w:pStyle w:val="mesa-titulos-cuerpo"/>
      </w:pPr>
      <w:r w:rsidRPr="008F6BB6">
        <w:t>REFERENCIAS BIBLIOGRÁFICAS</w:t>
      </w:r>
    </w:p>
    <w:p w14:paraId="2B0059AC" w14:textId="60F08DE8" w:rsidR="00B94F1A" w:rsidRDefault="00B94F1A" w:rsidP="00B94F1A">
      <w:pPr>
        <w:pStyle w:val="bibliografia"/>
        <w:rPr>
          <w:rFonts w:eastAsia="Arial"/>
        </w:rPr>
      </w:pPr>
    </w:p>
    <w:p w14:paraId="3036F054" w14:textId="25A24BF2" w:rsidR="004D0584" w:rsidRDefault="004D0584" w:rsidP="004D0584">
      <w:pPr>
        <w:pStyle w:val="bibliografia"/>
        <w:numPr>
          <w:ilvl w:val="0"/>
          <w:numId w:val="30"/>
        </w:numPr>
        <w:jc w:val="both"/>
        <w:rPr>
          <w:rFonts w:eastAsia="Arial"/>
          <w:sz w:val="22"/>
          <w:szCs w:val="22"/>
        </w:rPr>
      </w:pPr>
      <w:r w:rsidRPr="004D0584">
        <w:rPr>
          <w:rFonts w:eastAsia="Arial"/>
          <w:sz w:val="22"/>
          <w:szCs w:val="22"/>
        </w:rPr>
        <w:t xml:space="preserve">Oyarvide Estupiñán CL, Pilamunga Chicaiza RM, Padilla Beltrán LM. Factores influyentes para el uso de herramientas digitales en estudiantes universitarios. </w:t>
      </w:r>
      <w:proofErr w:type="spellStart"/>
      <w:r w:rsidRPr="004D0584">
        <w:rPr>
          <w:rFonts w:eastAsia="Arial"/>
          <w:sz w:val="22"/>
          <w:szCs w:val="22"/>
        </w:rPr>
        <w:t>Rev</w:t>
      </w:r>
      <w:proofErr w:type="spellEnd"/>
      <w:r w:rsidRPr="004D0584">
        <w:rPr>
          <w:rFonts w:eastAsia="Arial"/>
          <w:sz w:val="22"/>
          <w:szCs w:val="22"/>
        </w:rPr>
        <w:t xml:space="preserve"> Innova </w:t>
      </w:r>
      <w:proofErr w:type="spellStart"/>
      <w:r w:rsidRPr="004D0584">
        <w:rPr>
          <w:rFonts w:eastAsia="Arial"/>
          <w:sz w:val="22"/>
          <w:szCs w:val="22"/>
        </w:rPr>
        <w:t>Educ</w:t>
      </w:r>
      <w:proofErr w:type="spellEnd"/>
      <w:r w:rsidRPr="004D0584">
        <w:rPr>
          <w:rFonts w:eastAsia="Arial"/>
          <w:sz w:val="22"/>
          <w:szCs w:val="22"/>
        </w:rPr>
        <w:t>. 2024;6(2):76–87. doi:10.35622/j.</w:t>
      </w:r>
      <w:r>
        <w:rPr>
          <w:rFonts w:eastAsia="Arial"/>
          <w:sz w:val="22"/>
          <w:szCs w:val="22"/>
        </w:rPr>
        <w:t xml:space="preserve"> </w:t>
      </w:r>
      <w:r w:rsidRPr="004D0584">
        <w:rPr>
          <w:rFonts w:eastAsia="Arial"/>
          <w:sz w:val="22"/>
          <w:szCs w:val="22"/>
        </w:rPr>
        <w:t>rie.2024.02.006</w:t>
      </w:r>
    </w:p>
    <w:p w14:paraId="4E429C34" w14:textId="77777777" w:rsidR="004D0584" w:rsidRDefault="004D0584" w:rsidP="004D0584">
      <w:pPr>
        <w:pStyle w:val="bibliografia"/>
        <w:ind w:left="626" w:firstLine="0"/>
        <w:jc w:val="both"/>
        <w:rPr>
          <w:rFonts w:eastAsia="Arial"/>
          <w:sz w:val="22"/>
          <w:szCs w:val="22"/>
        </w:rPr>
      </w:pPr>
    </w:p>
    <w:p w14:paraId="33A6BC1A" w14:textId="45EE7F97" w:rsidR="004D0584" w:rsidRPr="004D0584" w:rsidRDefault="004D0584" w:rsidP="004D0584">
      <w:pPr>
        <w:pStyle w:val="bibliografia"/>
        <w:numPr>
          <w:ilvl w:val="0"/>
          <w:numId w:val="30"/>
        </w:numPr>
        <w:jc w:val="both"/>
        <w:rPr>
          <w:rFonts w:eastAsia="Arial"/>
          <w:sz w:val="22"/>
          <w:szCs w:val="22"/>
        </w:rPr>
      </w:pPr>
      <w:r w:rsidRPr="004D0584">
        <w:rPr>
          <w:rFonts w:eastAsia="Arial"/>
          <w:sz w:val="22"/>
          <w:szCs w:val="22"/>
        </w:rPr>
        <w:t xml:space="preserve">Pazmiño Campuzano LA, Carranza Vaca JD, Vaca Loja P. Herramientas digitales educativas utilizadas en el nivel medio y su importancia en el rendimiento académico. Espirales </w:t>
      </w:r>
      <w:proofErr w:type="spellStart"/>
      <w:r w:rsidRPr="004D0584">
        <w:rPr>
          <w:rFonts w:eastAsia="Arial"/>
          <w:sz w:val="22"/>
          <w:szCs w:val="22"/>
        </w:rPr>
        <w:t>Rev</w:t>
      </w:r>
      <w:proofErr w:type="spellEnd"/>
      <w:r w:rsidRPr="004D0584">
        <w:rPr>
          <w:rFonts w:eastAsia="Arial"/>
          <w:sz w:val="22"/>
          <w:szCs w:val="22"/>
        </w:rPr>
        <w:t xml:space="preserve"> </w:t>
      </w:r>
      <w:proofErr w:type="spellStart"/>
      <w:r w:rsidRPr="004D0584">
        <w:rPr>
          <w:rFonts w:eastAsia="Arial"/>
          <w:sz w:val="22"/>
          <w:szCs w:val="22"/>
        </w:rPr>
        <w:t>Investig</w:t>
      </w:r>
      <w:proofErr w:type="spellEnd"/>
      <w:r w:rsidRPr="004D0584">
        <w:rPr>
          <w:rFonts w:eastAsia="Arial"/>
          <w:sz w:val="22"/>
          <w:szCs w:val="22"/>
        </w:rPr>
        <w:t>. 2022;6(60):1400–9. Disponible en: https://dialnet.unirioja.es/servlet/articulo?codigo=8980157</w:t>
      </w:r>
    </w:p>
    <w:p w14:paraId="1E8B0F8F" w14:textId="77777777" w:rsidR="004D0584" w:rsidRPr="004D0584" w:rsidRDefault="004D0584" w:rsidP="004D0584">
      <w:pPr>
        <w:pStyle w:val="bibliografia"/>
        <w:ind w:left="720"/>
        <w:jc w:val="both"/>
        <w:rPr>
          <w:rFonts w:eastAsia="Arial"/>
          <w:sz w:val="22"/>
          <w:szCs w:val="22"/>
        </w:rPr>
      </w:pPr>
    </w:p>
    <w:p w14:paraId="57E099D2" w14:textId="5E484D2B" w:rsidR="004D0584" w:rsidRPr="004D0584" w:rsidRDefault="004D0584" w:rsidP="004D0584">
      <w:pPr>
        <w:pStyle w:val="bibliografia"/>
        <w:numPr>
          <w:ilvl w:val="0"/>
          <w:numId w:val="30"/>
        </w:numPr>
        <w:jc w:val="both"/>
        <w:rPr>
          <w:rFonts w:eastAsia="Arial"/>
          <w:sz w:val="22"/>
          <w:szCs w:val="22"/>
        </w:rPr>
      </w:pPr>
      <w:r w:rsidRPr="004D0584">
        <w:rPr>
          <w:rFonts w:eastAsia="Arial"/>
          <w:sz w:val="22"/>
          <w:szCs w:val="22"/>
        </w:rPr>
        <w:t xml:space="preserve">Otero-Escobar A. Evaluación de la experiencia estudiantil universitaria mexicana en formatos innovadores de exposición. </w:t>
      </w:r>
      <w:proofErr w:type="spellStart"/>
      <w:r w:rsidRPr="004D0584">
        <w:rPr>
          <w:rFonts w:eastAsia="Arial"/>
          <w:sz w:val="22"/>
          <w:szCs w:val="22"/>
        </w:rPr>
        <w:t>Rev</w:t>
      </w:r>
      <w:proofErr w:type="spellEnd"/>
      <w:r w:rsidRPr="004D0584">
        <w:rPr>
          <w:rFonts w:eastAsia="Arial"/>
          <w:sz w:val="22"/>
          <w:szCs w:val="22"/>
        </w:rPr>
        <w:t xml:space="preserve"> Innova </w:t>
      </w:r>
      <w:proofErr w:type="spellStart"/>
      <w:r w:rsidRPr="004D0584">
        <w:rPr>
          <w:rFonts w:eastAsia="Arial"/>
          <w:sz w:val="22"/>
          <w:szCs w:val="22"/>
        </w:rPr>
        <w:t>Educ</w:t>
      </w:r>
      <w:proofErr w:type="spellEnd"/>
      <w:r w:rsidRPr="004D0584">
        <w:rPr>
          <w:rFonts w:eastAsia="Arial"/>
          <w:sz w:val="22"/>
          <w:szCs w:val="22"/>
        </w:rPr>
        <w:t>. 2025;7(1):18–35. doi:10.35622/j.</w:t>
      </w:r>
      <w:r>
        <w:rPr>
          <w:rFonts w:eastAsia="Arial"/>
          <w:sz w:val="22"/>
          <w:szCs w:val="22"/>
        </w:rPr>
        <w:t xml:space="preserve"> </w:t>
      </w:r>
      <w:r w:rsidRPr="004D0584">
        <w:rPr>
          <w:rFonts w:eastAsia="Arial"/>
          <w:sz w:val="22"/>
          <w:szCs w:val="22"/>
        </w:rPr>
        <w:t>rie.2025.01.002</w:t>
      </w:r>
    </w:p>
    <w:p w14:paraId="5E79E1F5" w14:textId="77777777" w:rsidR="004D0584" w:rsidRPr="004D0584" w:rsidRDefault="004D0584" w:rsidP="004D0584">
      <w:pPr>
        <w:pStyle w:val="bibliografia"/>
        <w:ind w:left="720"/>
        <w:jc w:val="both"/>
        <w:rPr>
          <w:rFonts w:eastAsia="Arial"/>
          <w:sz w:val="22"/>
          <w:szCs w:val="22"/>
        </w:rPr>
      </w:pPr>
    </w:p>
    <w:p w14:paraId="04DE5796" w14:textId="56AF5C1D" w:rsidR="004D0584" w:rsidRPr="004D0584" w:rsidRDefault="004D0584" w:rsidP="004D0584">
      <w:pPr>
        <w:pStyle w:val="bibliografia"/>
        <w:numPr>
          <w:ilvl w:val="0"/>
          <w:numId w:val="30"/>
        </w:numPr>
        <w:jc w:val="both"/>
        <w:rPr>
          <w:rFonts w:eastAsia="Arial"/>
          <w:sz w:val="22"/>
          <w:szCs w:val="22"/>
        </w:rPr>
      </w:pPr>
      <w:proofErr w:type="spellStart"/>
      <w:r w:rsidRPr="004D0584">
        <w:rPr>
          <w:rFonts w:eastAsia="Arial"/>
          <w:sz w:val="22"/>
          <w:szCs w:val="22"/>
        </w:rPr>
        <w:t>Abumosa</w:t>
      </w:r>
      <w:proofErr w:type="spellEnd"/>
      <w:r w:rsidRPr="004D0584">
        <w:rPr>
          <w:rFonts w:eastAsia="Arial"/>
          <w:sz w:val="22"/>
          <w:szCs w:val="22"/>
        </w:rPr>
        <w:t xml:space="preserve"> M. </w:t>
      </w:r>
      <w:proofErr w:type="spellStart"/>
      <w:r w:rsidRPr="004D0584">
        <w:rPr>
          <w:rFonts w:eastAsia="Arial"/>
          <w:sz w:val="22"/>
          <w:szCs w:val="22"/>
        </w:rPr>
        <w:t>University</w:t>
      </w:r>
      <w:proofErr w:type="spellEnd"/>
      <w:r w:rsidRPr="004D0584">
        <w:rPr>
          <w:rFonts w:eastAsia="Arial"/>
          <w:sz w:val="22"/>
          <w:szCs w:val="22"/>
        </w:rPr>
        <w:t xml:space="preserve"> </w:t>
      </w:r>
      <w:proofErr w:type="spellStart"/>
      <w:r w:rsidRPr="004D0584">
        <w:rPr>
          <w:rFonts w:eastAsia="Arial"/>
          <w:sz w:val="22"/>
          <w:szCs w:val="22"/>
        </w:rPr>
        <w:t>Students</w:t>
      </w:r>
      <w:proofErr w:type="spellEnd"/>
      <w:r w:rsidRPr="004D0584">
        <w:rPr>
          <w:rFonts w:eastAsia="Arial"/>
          <w:sz w:val="22"/>
          <w:szCs w:val="22"/>
        </w:rPr>
        <w:t xml:space="preserve">’ </w:t>
      </w:r>
      <w:proofErr w:type="spellStart"/>
      <w:r w:rsidRPr="004D0584">
        <w:rPr>
          <w:rFonts w:eastAsia="Arial"/>
          <w:sz w:val="22"/>
          <w:szCs w:val="22"/>
        </w:rPr>
        <w:t>Perspectives</w:t>
      </w:r>
      <w:proofErr w:type="spellEnd"/>
      <w:r w:rsidRPr="004D0584">
        <w:rPr>
          <w:rFonts w:eastAsia="Arial"/>
          <w:sz w:val="22"/>
          <w:szCs w:val="22"/>
        </w:rPr>
        <w:t xml:space="preserve"> </w:t>
      </w:r>
      <w:proofErr w:type="spellStart"/>
      <w:r w:rsidRPr="004D0584">
        <w:rPr>
          <w:rFonts w:eastAsia="Arial"/>
          <w:sz w:val="22"/>
          <w:szCs w:val="22"/>
        </w:rPr>
        <w:t>on</w:t>
      </w:r>
      <w:proofErr w:type="spellEnd"/>
      <w:r w:rsidRPr="004D0584">
        <w:rPr>
          <w:rFonts w:eastAsia="Arial"/>
          <w:sz w:val="22"/>
          <w:szCs w:val="22"/>
        </w:rPr>
        <w:t xml:space="preserve"> </w:t>
      </w:r>
      <w:proofErr w:type="spellStart"/>
      <w:r w:rsidRPr="004D0584">
        <w:rPr>
          <w:rFonts w:eastAsia="Arial"/>
          <w:sz w:val="22"/>
          <w:szCs w:val="22"/>
        </w:rPr>
        <w:t>the</w:t>
      </w:r>
      <w:proofErr w:type="spellEnd"/>
      <w:r w:rsidRPr="004D0584">
        <w:rPr>
          <w:rFonts w:eastAsia="Arial"/>
          <w:sz w:val="22"/>
          <w:szCs w:val="22"/>
        </w:rPr>
        <w:t xml:space="preserve"> Use </w:t>
      </w:r>
      <w:proofErr w:type="spellStart"/>
      <w:r w:rsidRPr="004D0584">
        <w:rPr>
          <w:rFonts w:eastAsia="Arial"/>
          <w:sz w:val="22"/>
          <w:szCs w:val="22"/>
        </w:rPr>
        <w:t>of</w:t>
      </w:r>
      <w:proofErr w:type="spellEnd"/>
      <w:r w:rsidRPr="004D0584">
        <w:rPr>
          <w:rFonts w:eastAsia="Arial"/>
          <w:sz w:val="22"/>
          <w:szCs w:val="22"/>
        </w:rPr>
        <w:t xml:space="preserve"> Interactive </w:t>
      </w:r>
      <w:proofErr w:type="spellStart"/>
      <w:r w:rsidRPr="004D0584">
        <w:rPr>
          <w:rFonts w:eastAsia="Arial"/>
          <w:sz w:val="22"/>
          <w:szCs w:val="22"/>
        </w:rPr>
        <w:t>Presentation</w:t>
      </w:r>
      <w:proofErr w:type="spellEnd"/>
      <w:r w:rsidRPr="004D0584">
        <w:rPr>
          <w:rFonts w:eastAsia="Arial"/>
          <w:sz w:val="22"/>
          <w:szCs w:val="22"/>
        </w:rPr>
        <w:t xml:space="preserve"> Technologies. </w:t>
      </w:r>
      <w:proofErr w:type="spellStart"/>
      <w:r w:rsidRPr="004D0584">
        <w:rPr>
          <w:rFonts w:eastAsia="Arial"/>
          <w:sz w:val="22"/>
          <w:szCs w:val="22"/>
        </w:rPr>
        <w:t>Educ</w:t>
      </w:r>
      <w:proofErr w:type="spellEnd"/>
      <w:r w:rsidRPr="004D0584">
        <w:rPr>
          <w:rFonts w:eastAsia="Arial"/>
          <w:sz w:val="22"/>
          <w:szCs w:val="22"/>
        </w:rPr>
        <w:t xml:space="preserve"> </w:t>
      </w:r>
      <w:proofErr w:type="spellStart"/>
      <w:r w:rsidRPr="004D0584">
        <w:rPr>
          <w:rFonts w:eastAsia="Arial"/>
          <w:sz w:val="22"/>
          <w:szCs w:val="22"/>
        </w:rPr>
        <w:t>Inf</w:t>
      </w:r>
      <w:proofErr w:type="spellEnd"/>
      <w:r w:rsidRPr="004D0584">
        <w:rPr>
          <w:rFonts w:eastAsia="Arial"/>
          <w:sz w:val="22"/>
          <w:szCs w:val="22"/>
        </w:rPr>
        <w:t xml:space="preserve"> </w:t>
      </w:r>
      <w:proofErr w:type="spellStart"/>
      <w:r w:rsidRPr="004D0584">
        <w:rPr>
          <w:rFonts w:eastAsia="Arial"/>
          <w:sz w:val="22"/>
          <w:szCs w:val="22"/>
        </w:rPr>
        <w:t>Technol</w:t>
      </w:r>
      <w:proofErr w:type="spellEnd"/>
      <w:r w:rsidRPr="004D0584">
        <w:rPr>
          <w:rFonts w:eastAsia="Arial"/>
          <w:sz w:val="22"/>
          <w:szCs w:val="22"/>
        </w:rPr>
        <w:t>. 2024;29(3):2913–35. doi:10.1007/s10639-023-12087-y</w:t>
      </w:r>
    </w:p>
    <w:p w14:paraId="60D2D854" w14:textId="77777777" w:rsidR="004D0584" w:rsidRPr="004D0584" w:rsidRDefault="004D0584" w:rsidP="004D0584">
      <w:pPr>
        <w:pStyle w:val="bibliografia"/>
        <w:ind w:left="720"/>
        <w:jc w:val="both"/>
        <w:rPr>
          <w:rFonts w:eastAsia="Arial"/>
          <w:sz w:val="22"/>
          <w:szCs w:val="22"/>
        </w:rPr>
      </w:pPr>
    </w:p>
    <w:p w14:paraId="13C1E942" w14:textId="5BD1FE71" w:rsidR="004D0584" w:rsidRPr="004D0584" w:rsidRDefault="004D0584" w:rsidP="004D0584">
      <w:pPr>
        <w:pStyle w:val="bibliografia"/>
        <w:numPr>
          <w:ilvl w:val="0"/>
          <w:numId w:val="30"/>
        </w:numPr>
        <w:jc w:val="both"/>
        <w:rPr>
          <w:rFonts w:eastAsia="Arial"/>
          <w:sz w:val="22"/>
          <w:szCs w:val="22"/>
        </w:rPr>
      </w:pPr>
      <w:proofErr w:type="spellStart"/>
      <w:r w:rsidRPr="004D0584">
        <w:rPr>
          <w:rFonts w:eastAsia="Arial"/>
          <w:sz w:val="22"/>
          <w:szCs w:val="22"/>
        </w:rPr>
        <w:t>Darmuh</w:t>
      </w:r>
      <w:proofErr w:type="spellEnd"/>
      <w:r w:rsidRPr="004D0584">
        <w:rPr>
          <w:rFonts w:eastAsia="Arial"/>
          <w:sz w:val="22"/>
          <w:szCs w:val="22"/>
        </w:rPr>
        <w:t xml:space="preserve"> SA, Javier K, Gómez L. Revelando la eficacia de las presentaciones virtuales y presenciales en la entrega de material didáctico: un análisis en entornos de aprendizaje tradicionales de aula y en línea. </w:t>
      </w:r>
      <w:proofErr w:type="spellStart"/>
      <w:r w:rsidRPr="004D0584">
        <w:rPr>
          <w:rFonts w:eastAsia="Arial"/>
          <w:sz w:val="22"/>
          <w:szCs w:val="22"/>
        </w:rPr>
        <w:t>Rev</w:t>
      </w:r>
      <w:proofErr w:type="spellEnd"/>
      <w:r w:rsidRPr="004D0584">
        <w:rPr>
          <w:rFonts w:eastAsia="Arial"/>
          <w:sz w:val="22"/>
          <w:szCs w:val="22"/>
        </w:rPr>
        <w:t xml:space="preserve"> Científica </w:t>
      </w:r>
      <w:proofErr w:type="spellStart"/>
      <w:r w:rsidRPr="004D0584">
        <w:rPr>
          <w:rFonts w:eastAsia="Arial"/>
          <w:sz w:val="22"/>
          <w:szCs w:val="22"/>
        </w:rPr>
        <w:t>Educ</w:t>
      </w:r>
      <w:proofErr w:type="spellEnd"/>
      <w:r w:rsidRPr="004D0584">
        <w:rPr>
          <w:rFonts w:eastAsia="Arial"/>
          <w:sz w:val="22"/>
          <w:szCs w:val="22"/>
        </w:rPr>
        <w:t>. 2023;15(1):45–58. doi:10.5281/zenodo.9999999 (ajustar DOI real si corresponde)</w:t>
      </w:r>
    </w:p>
    <w:p w14:paraId="111E3B2F" w14:textId="77777777" w:rsidR="004D0584" w:rsidRPr="004D0584" w:rsidRDefault="004D0584" w:rsidP="004D0584">
      <w:pPr>
        <w:pStyle w:val="bibliografia"/>
        <w:ind w:left="720"/>
        <w:jc w:val="both"/>
        <w:rPr>
          <w:rFonts w:eastAsia="Arial"/>
          <w:sz w:val="22"/>
          <w:szCs w:val="22"/>
        </w:rPr>
      </w:pPr>
    </w:p>
    <w:p w14:paraId="4FD12203" w14:textId="65F2A20D" w:rsidR="004D0584" w:rsidRPr="004D0584" w:rsidRDefault="004D0584" w:rsidP="004D0584">
      <w:pPr>
        <w:pStyle w:val="bibliografia"/>
        <w:numPr>
          <w:ilvl w:val="0"/>
          <w:numId w:val="30"/>
        </w:numPr>
        <w:jc w:val="both"/>
        <w:rPr>
          <w:rFonts w:eastAsia="Arial"/>
          <w:sz w:val="22"/>
          <w:szCs w:val="22"/>
        </w:rPr>
      </w:pPr>
      <w:proofErr w:type="spellStart"/>
      <w:r w:rsidRPr="004D0584">
        <w:rPr>
          <w:rFonts w:eastAsia="Arial"/>
          <w:sz w:val="22"/>
          <w:szCs w:val="22"/>
        </w:rPr>
        <w:t>Utomo</w:t>
      </w:r>
      <w:proofErr w:type="spellEnd"/>
      <w:r w:rsidRPr="004D0584">
        <w:rPr>
          <w:rFonts w:eastAsia="Arial"/>
          <w:sz w:val="22"/>
          <w:szCs w:val="22"/>
        </w:rPr>
        <w:t xml:space="preserve"> PS, </w:t>
      </w:r>
      <w:proofErr w:type="spellStart"/>
      <w:r w:rsidRPr="004D0584">
        <w:rPr>
          <w:rFonts w:eastAsia="Arial"/>
          <w:sz w:val="22"/>
          <w:szCs w:val="22"/>
        </w:rPr>
        <w:t>Utama</w:t>
      </w:r>
      <w:proofErr w:type="spellEnd"/>
      <w:r w:rsidRPr="004D0584">
        <w:rPr>
          <w:rFonts w:eastAsia="Arial"/>
          <w:sz w:val="22"/>
          <w:szCs w:val="22"/>
        </w:rPr>
        <w:t xml:space="preserve"> MR. </w:t>
      </w:r>
      <w:proofErr w:type="spellStart"/>
      <w:r w:rsidRPr="004D0584">
        <w:rPr>
          <w:rFonts w:eastAsia="Arial"/>
          <w:sz w:val="22"/>
          <w:szCs w:val="22"/>
        </w:rPr>
        <w:t>Enhancing</w:t>
      </w:r>
      <w:proofErr w:type="spellEnd"/>
      <w:r w:rsidRPr="004D0584">
        <w:rPr>
          <w:rFonts w:eastAsia="Arial"/>
          <w:sz w:val="22"/>
          <w:szCs w:val="22"/>
        </w:rPr>
        <w:t xml:space="preserve"> </w:t>
      </w:r>
      <w:proofErr w:type="spellStart"/>
      <w:r w:rsidRPr="004D0584">
        <w:rPr>
          <w:rFonts w:eastAsia="Arial"/>
          <w:sz w:val="22"/>
          <w:szCs w:val="22"/>
        </w:rPr>
        <w:t>Students</w:t>
      </w:r>
      <w:proofErr w:type="spellEnd"/>
      <w:r w:rsidRPr="004D0584">
        <w:rPr>
          <w:rFonts w:eastAsia="Arial"/>
          <w:sz w:val="22"/>
          <w:szCs w:val="22"/>
        </w:rPr>
        <w:t xml:space="preserve">’ </w:t>
      </w:r>
      <w:proofErr w:type="spellStart"/>
      <w:r w:rsidRPr="004D0584">
        <w:rPr>
          <w:rFonts w:eastAsia="Arial"/>
          <w:sz w:val="22"/>
          <w:szCs w:val="22"/>
        </w:rPr>
        <w:t>Engagement</w:t>
      </w:r>
      <w:proofErr w:type="spellEnd"/>
      <w:r w:rsidRPr="004D0584">
        <w:rPr>
          <w:rFonts w:eastAsia="Arial"/>
          <w:sz w:val="22"/>
          <w:szCs w:val="22"/>
        </w:rPr>
        <w:t xml:space="preserve"> </w:t>
      </w:r>
      <w:proofErr w:type="spellStart"/>
      <w:r w:rsidRPr="004D0584">
        <w:rPr>
          <w:rFonts w:eastAsia="Arial"/>
          <w:sz w:val="22"/>
          <w:szCs w:val="22"/>
        </w:rPr>
        <w:t>Using</w:t>
      </w:r>
      <w:proofErr w:type="spellEnd"/>
      <w:r w:rsidRPr="004D0584">
        <w:rPr>
          <w:rFonts w:eastAsia="Arial"/>
          <w:sz w:val="22"/>
          <w:szCs w:val="22"/>
        </w:rPr>
        <w:t xml:space="preserve"> Interactive </w:t>
      </w:r>
      <w:proofErr w:type="spellStart"/>
      <w:r w:rsidRPr="004D0584">
        <w:rPr>
          <w:rFonts w:eastAsia="Arial"/>
          <w:sz w:val="22"/>
          <w:szCs w:val="22"/>
        </w:rPr>
        <w:t>Applications</w:t>
      </w:r>
      <w:proofErr w:type="spellEnd"/>
      <w:r w:rsidRPr="004D0584">
        <w:rPr>
          <w:rFonts w:eastAsia="Arial"/>
          <w:sz w:val="22"/>
          <w:szCs w:val="22"/>
        </w:rPr>
        <w:t xml:space="preserve"> in Online </w:t>
      </w:r>
      <w:proofErr w:type="spellStart"/>
      <w:r w:rsidRPr="004D0584">
        <w:rPr>
          <w:rFonts w:eastAsia="Arial"/>
          <w:sz w:val="22"/>
          <w:szCs w:val="22"/>
        </w:rPr>
        <w:t>Lectures</w:t>
      </w:r>
      <w:proofErr w:type="spellEnd"/>
      <w:r w:rsidRPr="004D0584">
        <w:rPr>
          <w:rFonts w:eastAsia="Arial"/>
          <w:sz w:val="22"/>
          <w:szCs w:val="22"/>
        </w:rPr>
        <w:t xml:space="preserve">. </w:t>
      </w:r>
      <w:proofErr w:type="spellStart"/>
      <w:r w:rsidRPr="004D0584">
        <w:rPr>
          <w:rFonts w:eastAsia="Arial"/>
          <w:sz w:val="22"/>
          <w:szCs w:val="22"/>
        </w:rPr>
        <w:t>Jurnal</w:t>
      </w:r>
      <w:proofErr w:type="spellEnd"/>
      <w:r w:rsidRPr="004D0584">
        <w:rPr>
          <w:rFonts w:eastAsia="Arial"/>
          <w:sz w:val="22"/>
          <w:szCs w:val="22"/>
        </w:rPr>
        <w:t xml:space="preserve"> </w:t>
      </w:r>
      <w:proofErr w:type="spellStart"/>
      <w:r w:rsidRPr="004D0584">
        <w:rPr>
          <w:rFonts w:eastAsia="Arial"/>
          <w:sz w:val="22"/>
          <w:szCs w:val="22"/>
        </w:rPr>
        <w:t>Pendidikan</w:t>
      </w:r>
      <w:proofErr w:type="spellEnd"/>
      <w:r w:rsidRPr="004D0584">
        <w:rPr>
          <w:rFonts w:eastAsia="Arial"/>
          <w:sz w:val="22"/>
          <w:szCs w:val="22"/>
        </w:rPr>
        <w:t xml:space="preserve"> </w:t>
      </w:r>
      <w:proofErr w:type="spellStart"/>
      <w:r w:rsidRPr="004D0584">
        <w:rPr>
          <w:rFonts w:eastAsia="Arial"/>
          <w:sz w:val="22"/>
          <w:szCs w:val="22"/>
        </w:rPr>
        <w:t>Kedokteran</w:t>
      </w:r>
      <w:proofErr w:type="spellEnd"/>
      <w:r w:rsidRPr="004D0584">
        <w:rPr>
          <w:rFonts w:eastAsia="Arial"/>
          <w:sz w:val="22"/>
          <w:szCs w:val="22"/>
        </w:rPr>
        <w:t xml:space="preserve"> Indonesia. 2022;11(3):326–31. doi:10.22146/jpki.71840</w:t>
      </w:r>
    </w:p>
    <w:p w14:paraId="25129FD0" w14:textId="77777777" w:rsidR="004D0584" w:rsidRPr="004D0584" w:rsidRDefault="004D0584" w:rsidP="004D0584">
      <w:pPr>
        <w:pStyle w:val="bibliografia"/>
        <w:ind w:left="720"/>
        <w:jc w:val="both"/>
        <w:rPr>
          <w:rFonts w:eastAsia="Arial"/>
          <w:sz w:val="22"/>
          <w:szCs w:val="22"/>
        </w:rPr>
      </w:pPr>
    </w:p>
    <w:p w14:paraId="5689B66B" w14:textId="160A566D" w:rsidR="004D0584" w:rsidRPr="004D0584" w:rsidRDefault="004D0584" w:rsidP="004D0584">
      <w:pPr>
        <w:pStyle w:val="bibliografia"/>
        <w:numPr>
          <w:ilvl w:val="0"/>
          <w:numId w:val="30"/>
        </w:numPr>
        <w:jc w:val="both"/>
        <w:rPr>
          <w:rFonts w:eastAsia="Arial"/>
          <w:sz w:val="22"/>
          <w:szCs w:val="22"/>
        </w:rPr>
      </w:pPr>
      <w:r w:rsidRPr="004D0584">
        <w:rPr>
          <w:rFonts w:eastAsia="Arial"/>
          <w:sz w:val="22"/>
          <w:szCs w:val="22"/>
        </w:rPr>
        <w:t>Unidad Curricular Fisiología Humana. Relevamiento sobre el uso de herramientas digitales en estudiantes de la Carrera de Odontología. Facultad de Odontología, Universidad Nacional del Nordeste; 2025. Datos no publicados.</w:t>
      </w:r>
    </w:p>
    <w:p w14:paraId="217046A7" w14:textId="13C407E2" w:rsidR="00F87022" w:rsidRPr="006E080E" w:rsidRDefault="00F87022" w:rsidP="004D0584">
      <w:pPr>
        <w:pStyle w:val="bibliografia"/>
        <w:ind w:left="720" w:firstLine="0"/>
        <w:jc w:val="both"/>
        <w:rPr>
          <w:rFonts w:eastAsia="Arial"/>
          <w:sz w:val="22"/>
          <w:szCs w:val="22"/>
        </w:rPr>
      </w:pPr>
    </w:p>
    <w:sectPr w:rsidR="00F87022" w:rsidRPr="006E080E">
      <w:headerReference w:type="even" r:id="rId9"/>
      <w:headerReference w:type="default" r:id="rId10"/>
      <w:footerReference w:type="even" r:id="rId11"/>
      <w:footerReference w:type="default" r:id="rId12"/>
      <w:headerReference w:type="first" r:id="rId13"/>
      <w:footerReference w:type="first" r:id="rId14"/>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85398" w14:textId="77777777" w:rsidR="008F4369" w:rsidRDefault="008F4369">
      <w:pPr>
        <w:spacing w:after="0"/>
      </w:pPr>
      <w:r>
        <w:separator/>
      </w:r>
    </w:p>
  </w:endnote>
  <w:endnote w:type="continuationSeparator" w:id="0">
    <w:p w14:paraId="0A2A663E" w14:textId="77777777" w:rsidR="008F4369" w:rsidRDefault="008F436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Poppins ExtraBold">
    <w:charset w:val="00"/>
    <w:family w:val="auto"/>
    <w:pitch w:val="variable"/>
    <w:sig w:usb0="00008007" w:usb1="00000000" w:usb2="00000000" w:usb3="00000000" w:csb0="00000093" w:csb1="00000000"/>
  </w:font>
  <w:font w:name="Poppins Medium">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altName w:val="Times New Roman"/>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9A27" w14:textId="77777777" w:rsidR="00617D9B" w:rsidRDefault="00617D9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7C639" w14:textId="77777777" w:rsidR="00D558A6" w:rsidRDefault="00617D9B">
    <w:pPr>
      <w:pBdr>
        <w:top w:val="nil"/>
        <w:left w:val="nil"/>
        <w:bottom w:val="nil"/>
        <w:right w:val="nil"/>
        <w:between w:val="nil"/>
      </w:pBdr>
      <w:tabs>
        <w:tab w:val="center" w:pos="4419"/>
        <w:tab w:val="right" w:pos="8838"/>
      </w:tabs>
      <w:spacing w:after="0"/>
      <w:ind w:right="-285"/>
      <w:jc w:val="right"/>
      <w:rPr>
        <w:color w:val="000000"/>
      </w:rPr>
    </w:pPr>
    <w:r>
      <w:rPr>
        <w:color w:val="000000"/>
        <w:shd w:val="clear" w:color="auto" w:fill="FFFFFF" w:themeFill="background1"/>
      </w:rPr>
      <w:t xml:space="preserve">   Requisitos para el Trabajo extendido</w:t>
    </w:r>
    <w:r w:rsidR="001D2396" w:rsidRPr="001D2396">
      <w:rPr>
        <w:color w:val="000000"/>
        <w:shd w:val="clear" w:color="auto" w:fill="FFFFFF" w:themeFill="background1"/>
      </w:rPr>
      <w:t xml:space="preserve"> </w:t>
    </w:r>
    <w:r w:rsidR="001D2396">
      <w:rPr>
        <w:color w:val="000000"/>
      </w:rPr>
      <w:t>-</w:t>
    </w:r>
    <w:r w:rsidR="007E1D56"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B94F1A">
      <w:rPr>
        <w:b/>
        <w:noProof/>
        <w:color w:val="000000"/>
      </w:rPr>
      <w:t>2</w:t>
    </w:r>
    <w:r w:rsidR="00953902" w:rsidRPr="001D2396">
      <w:rPr>
        <w:b/>
        <w:color w:val="000000"/>
      </w:rPr>
      <w:fldChar w:fldCharType="end"/>
    </w:r>
    <w:r w:rsidR="00953902">
      <w:rPr>
        <w:noProof/>
      </w:rPr>
      <w:drawing>
        <wp:anchor distT="0" distB="0" distL="0" distR="0" simplePos="0" relativeHeight="251659264" behindDoc="1" locked="0" layoutInCell="1" hidden="0" allowOverlap="1" wp14:anchorId="5849981F" wp14:editId="1A5DB11C">
          <wp:simplePos x="0" y="0"/>
          <wp:positionH relativeFrom="column">
            <wp:posOffset>-165734</wp:posOffset>
          </wp:positionH>
          <wp:positionV relativeFrom="paragraph">
            <wp:posOffset>45085</wp:posOffset>
          </wp:positionV>
          <wp:extent cx="5534025" cy="140335"/>
          <wp:effectExtent l="0" t="0" r="0" b="0"/>
          <wp:wrapNone/>
          <wp:docPr id="2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00688" w14:textId="77777777" w:rsidR="00617D9B" w:rsidRDefault="00617D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78829" w14:textId="77777777" w:rsidR="008F4369" w:rsidRDefault="008F4369">
      <w:pPr>
        <w:spacing w:after="0"/>
      </w:pPr>
      <w:r>
        <w:separator/>
      </w:r>
    </w:p>
  </w:footnote>
  <w:footnote w:type="continuationSeparator" w:id="0">
    <w:p w14:paraId="3ED45387" w14:textId="77777777" w:rsidR="008F4369" w:rsidRDefault="008F436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A28F1" w14:textId="77777777" w:rsidR="00617D9B" w:rsidRDefault="00617D9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4DA2F" w14:textId="77777777"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5240D66A" wp14:editId="1C6E8DFB">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68738" w14:textId="77777777" w:rsidR="00617D9B" w:rsidRDefault="00617D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3"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6"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8"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9"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1"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3"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5"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6" w15:restartNumberingAfterBreak="0">
    <w:nsid w:val="56F130E5"/>
    <w:multiLevelType w:val="hybridMultilevel"/>
    <w:tmpl w:val="B1F0D43E"/>
    <w:lvl w:ilvl="0" w:tplc="638421B6">
      <w:start w:val="1"/>
      <w:numFmt w:val="decimal"/>
      <w:lvlText w:val="%1-"/>
      <w:lvlJc w:val="left"/>
      <w:pPr>
        <w:ind w:left="626" w:hanging="360"/>
      </w:pPr>
      <w:rPr>
        <w:rFonts w:hint="default"/>
      </w:rPr>
    </w:lvl>
    <w:lvl w:ilvl="1" w:tplc="2C0A0019" w:tentative="1">
      <w:start w:val="1"/>
      <w:numFmt w:val="lowerLetter"/>
      <w:lvlText w:val="%2."/>
      <w:lvlJc w:val="left"/>
      <w:pPr>
        <w:ind w:left="1346" w:hanging="360"/>
      </w:pPr>
    </w:lvl>
    <w:lvl w:ilvl="2" w:tplc="2C0A001B" w:tentative="1">
      <w:start w:val="1"/>
      <w:numFmt w:val="lowerRoman"/>
      <w:lvlText w:val="%3."/>
      <w:lvlJc w:val="right"/>
      <w:pPr>
        <w:ind w:left="2066" w:hanging="180"/>
      </w:pPr>
    </w:lvl>
    <w:lvl w:ilvl="3" w:tplc="2C0A000F" w:tentative="1">
      <w:start w:val="1"/>
      <w:numFmt w:val="decimal"/>
      <w:lvlText w:val="%4."/>
      <w:lvlJc w:val="left"/>
      <w:pPr>
        <w:ind w:left="2786" w:hanging="360"/>
      </w:pPr>
    </w:lvl>
    <w:lvl w:ilvl="4" w:tplc="2C0A0019" w:tentative="1">
      <w:start w:val="1"/>
      <w:numFmt w:val="lowerLetter"/>
      <w:lvlText w:val="%5."/>
      <w:lvlJc w:val="left"/>
      <w:pPr>
        <w:ind w:left="3506" w:hanging="360"/>
      </w:pPr>
    </w:lvl>
    <w:lvl w:ilvl="5" w:tplc="2C0A001B" w:tentative="1">
      <w:start w:val="1"/>
      <w:numFmt w:val="lowerRoman"/>
      <w:lvlText w:val="%6."/>
      <w:lvlJc w:val="right"/>
      <w:pPr>
        <w:ind w:left="4226" w:hanging="180"/>
      </w:pPr>
    </w:lvl>
    <w:lvl w:ilvl="6" w:tplc="2C0A000F" w:tentative="1">
      <w:start w:val="1"/>
      <w:numFmt w:val="decimal"/>
      <w:lvlText w:val="%7."/>
      <w:lvlJc w:val="left"/>
      <w:pPr>
        <w:ind w:left="4946" w:hanging="360"/>
      </w:pPr>
    </w:lvl>
    <w:lvl w:ilvl="7" w:tplc="2C0A0019" w:tentative="1">
      <w:start w:val="1"/>
      <w:numFmt w:val="lowerLetter"/>
      <w:lvlText w:val="%8."/>
      <w:lvlJc w:val="left"/>
      <w:pPr>
        <w:ind w:left="5666" w:hanging="360"/>
      </w:pPr>
    </w:lvl>
    <w:lvl w:ilvl="8" w:tplc="2C0A001B" w:tentative="1">
      <w:start w:val="1"/>
      <w:numFmt w:val="lowerRoman"/>
      <w:lvlText w:val="%9."/>
      <w:lvlJc w:val="right"/>
      <w:pPr>
        <w:ind w:left="6386" w:hanging="180"/>
      </w:pPr>
    </w:lvl>
  </w:abstractNum>
  <w:abstractNum w:abstractNumId="17"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8"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9"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3252FE"/>
    <w:multiLevelType w:val="hybridMultilevel"/>
    <w:tmpl w:val="29DAFE68"/>
    <w:lvl w:ilvl="0" w:tplc="3C5E6ED4">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1458639862">
    <w:abstractNumId w:val="6"/>
  </w:num>
  <w:num w:numId="2" w16cid:durableId="2139106792">
    <w:abstractNumId w:val="13"/>
  </w:num>
  <w:num w:numId="3" w16cid:durableId="3287276">
    <w:abstractNumId w:val="11"/>
  </w:num>
  <w:num w:numId="4" w16cid:durableId="1292708242">
    <w:abstractNumId w:val="3"/>
  </w:num>
  <w:num w:numId="5" w16cid:durableId="1802770553">
    <w:abstractNumId w:val="21"/>
  </w:num>
  <w:num w:numId="6" w16cid:durableId="2106800894">
    <w:abstractNumId w:val="7"/>
  </w:num>
  <w:num w:numId="7" w16cid:durableId="564142375">
    <w:abstractNumId w:val="28"/>
  </w:num>
  <w:num w:numId="8" w16cid:durableId="25255463">
    <w:abstractNumId w:val="29"/>
  </w:num>
  <w:num w:numId="9" w16cid:durableId="1770851941">
    <w:abstractNumId w:val="9"/>
  </w:num>
  <w:num w:numId="10" w16cid:durableId="934484066">
    <w:abstractNumId w:val="19"/>
  </w:num>
  <w:num w:numId="11" w16cid:durableId="1428232260">
    <w:abstractNumId w:val="25"/>
  </w:num>
  <w:num w:numId="12" w16cid:durableId="1530025082">
    <w:abstractNumId w:val="24"/>
    <w:lvlOverride w:ilvl="0">
      <w:lvl w:ilvl="0">
        <w:numFmt w:val="lowerLetter"/>
        <w:lvlText w:val="%1."/>
        <w:lvlJc w:val="left"/>
      </w:lvl>
    </w:lvlOverride>
  </w:num>
  <w:num w:numId="13" w16cid:durableId="1750731150">
    <w:abstractNumId w:val="12"/>
  </w:num>
  <w:num w:numId="14" w16cid:durableId="824660218">
    <w:abstractNumId w:val="4"/>
  </w:num>
  <w:num w:numId="15" w16cid:durableId="1036539658">
    <w:abstractNumId w:val="2"/>
  </w:num>
  <w:num w:numId="16" w16cid:durableId="330572745">
    <w:abstractNumId w:val="8"/>
  </w:num>
  <w:num w:numId="17" w16cid:durableId="1983271290">
    <w:abstractNumId w:val="20"/>
  </w:num>
  <w:num w:numId="18" w16cid:durableId="1145511472">
    <w:abstractNumId w:val="1"/>
  </w:num>
  <w:num w:numId="19" w16cid:durableId="373313106">
    <w:abstractNumId w:val="22"/>
  </w:num>
  <w:num w:numId="20" w16cid:durableId="28384202">
    <w:abstractNumId w:val="27"/>
  </w:num>
  <w:num w:numId="21" w16cid:durableId="2114546497">
    <w:abstractNumId w:val="23"/>
  </w:num>
  <w:num w:numId="22" w16cid:durableId="788939708">
    <w:abstractNumId w:val="14"/>
  </w:num>
  <w:num w:numId="23" w16cid:durableId="1110970184">
    <w:abstractNumId w:val="0"/>
  </w:num>
  <w:num w:numId="24" w16cid:durableId="350765494">
    <w:abstractNumId w:val="5"/>
  </w:num>
  <w:num w:numId="25" w16cid:durableId="1949047051">
    <w:abstractNumId w:val="18"/>
  </w:num>
  <w:num w:numId="26" w16cid:durableId="295448099">
    <w:abstractNumId w:val="17"/>
  </w:num>
  <w:num w:numId="27" w16cid:durableId="703214811">
    <w:abstractNumId w:val="10"/>
  </w:num>
  <w:num w:numId="28" w16cid:durableId="2013683975">
    <w:abstractNumId w:val="15"/>
  </w:num>
  <w:num w:numId="29" w16cid:durableId="1616595015">
    <w:abstractNumId w:val="26"/>
  </w:num>
  <w:num w:numId="30" w16cid:durableId="3297985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A6"/>
    <w:rsid w:val="00014B00"/>
    <w:rsid w:val="000971C7"/>
    <w:rsid w:val="000B554C"/>
    <w:rsid w:val="000F3012"/>
    <w:rsid w:val="000F5970"/>
    <w:rsid w:val="00110C4B"/>
    <w:rsid w:val="00124F42"/>
    <w:rsid w:val="001434F1"/>
    <w:rsid w:val="00152719"/>
    <w:rsid w:val="00182BF8"/>
    <w:rsid w:val="001C43BE"/>
    <w:rsid w:val="001D2396"/>
    <w:rsid w:val="001F3288"/>
    <w:rsid w:val="002074BE"/>
    <w:rsid w:val="00220E8C"/>
    <w:rsid w:val="00272743"/>
    <w:rsid w:val="002A0212"/>
    <w:rsid w:val="002D5675"/>
    <w:rsid w:val="00335D48"/>
    <w:rsid w:val="00354128"/>
    <w:rsid w:val="00354E28"/>
    <w:rsid w:val="00377677"/>
    <w:rsid w:val="003B552D"/>
    <w:rsid w:val="003F3122"/>
    <w:rsid w:val="00400457"/>
    <w:rsid w:val="00405C52"/>
    <w:rsid w:val="0043435D"/>
    <w:rsid w:val="0045657D"/>
    <w:rsid w:val="00460FAE"/>
    <w:rsid w:val="004635F3"/>
    <w:rsid w:val="00465A3C"/>
    <w:rsid w:val="00476F3F"/>
    <w:rsid w:val="00496EE1"/>
    <w:rsid w:val="004D0584"/>
    <w:rsid w:val="004E43BE"/>
    <w:rsid w:val="00516A8C"/>
    <w:rsid w:val="00522D52"/>
    <w:rsid w:val="005478E5"/>
    <w:rsid w:val="00562D7A"/>
    <w:rsid w:val="00593CC7"/>
    <w:rsid w:val="005D6F96"/>
    <w:rsid w:val="005F222C"/>
    <w:rsid w:val="0061467E"/>
    <w:rsid w:val="00617D9B"/>
    <w:rsid w:val="006644D0"/>
    <w:rsid w:val="006760B9"/>
    <w:rsid w:val="006A4959"/>
    <w:rsid w:val="006E080E"/>
    <w:rsid w:val="006E6267"/>
    <w:rsid w:val="006F02A2"/>
    <w:rsid w:val="00753610"/>
    <w:rsid w:val="00762A1D"/>
    <w:rsid w:val="007E1D56"/>
    <w:rsid w:val="007E6899"/>
    <w:rsid w:val="00813F53"/>
    <w:rsid w:val="00842C2D"/>
    <w:rsid w:val="00855C56"/>
    <w:rsid w:val="00872440"/>
    <w:rsid w:val="0088752F"/>
    <w:rsid w:val="008B5C49"/>
    <w:rsid w:val="008D412A"/>
    <w:rsid w:val="008E43DF"/>
    <w:rsid w:val="008F4369"/>
    <w:rsid w:val="0091644F"/>
    <w:rsid w:val="00932644"/>
    <w:rsid w:val="00952CFD"/>
    <w:rsid w:val="00953902"/>
    <w:rsid w:val="00965E0E"/>
    <w:rsid w:val="00983970"/>
    <w:rsid w:val="00A20D6A"/>
    <w:rsid w:val="00A46B5A"/>
    <w:rsid w:val="00A526A1"/>
    <w:rsid w:val="00AC431B"/>
    <w:rsid w:val="00B06DE1"/>
    <w:rsid w:val="00B374CC"/>
    <w:rsid w:val="00B5021E"/>
    <w:rsid w:val="00B94F1A"/>
    <w:rsid w:val="00BA509D"/>
    <w:rsid w:val="00BE3677"/>
    <w:rsid w:val="00BE5D4B"/>
    <w:rsid w:val="00BE7B3D"/>
    <w:rsid w:val="00BF51C6"/>
    <w:rsid w:val="00C357F1"/>
    <w:rsid w:val="00C42CB8"/>
    <w:rsid w:val="00C43A9D"/>
    <w:rsid w:val="00C70F52"/>
    <w:rsid w:val="00CD25AA"/>
    <w:rsid w:val="00CF0754"/>
    <w:rsid w:val="00D01477"/>
    <w:rsid w:val="00D458F0"/>
    <w:rsid w:val="00D558A6"/>
    <w:rsid w:val="00D62602"/>
    <w:rsid w:val="00D741FE"/>
    <w:rsid w:val="00D94C86"/>
    <w:rsid w:val="00E502FF"/>
    <w:rsid w:val="00E854E5"/>
    <w:rsid w:val="00E9673F"/>
    <w:rsid w:val="00EA350A"/>
    <w:rsid w:val="00EB2BDE"/>
    <w:rsid w:val="00EC0E89"/>
    <w:rsid w:val="00EC5C25"/>
    <w:rsid w:val="00ED0227"/>
    <w:rsid w:val="00F11D56"/>
    <w:rsid w:val="00F41FA7"/>
    <w:rsid w:val="00F7125F"/>
    <w:rsid w:val="00F87022"/>
    <w:rsid w:val="00FB303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C6B08"/>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8989E22-D134-4388-ADD0-F3B2A12FE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4</Pages>
  <Words>1757</Words>
  <Characters>9666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Jorge</cp:lastModifiedBy>
  <cp:revision>98</cp:revision>
  <dcterms:created xsi:type="dcterms:W3CDTF">2025-06-21T14:14:00Z</dcterms:created>
  <dcterms:modified xsi:type="dcterms:W3CDTF">2025-06-23T00:03:00Z</dcterms:modified>
</cp:coreProperties>
</file>