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4A3" w:rsidRDefault="00A274A3" w:rsidP="00B53893">
      <w:pPr>
        <w:widowControl w:val="0"/>
        <w:pBdr>
          <w:top w:val="nil"/>
          <w:left w:val="nil"/>
          <w:bottom w:val="nil"/>
          <w:right w:val="nil"/>
          <w:between w:val="nil"/>
        </w:pBdr>
        <w:spacing w:after="0" w:line="276" w:lineRule="auto"/>
        <w:ind w:left="720" w:hanging="720"/>
        <w:rPr>
          <w:rFonts w:ascii="Arial" w:eastAsia="Arial" w:hAnsi="Arial" w:cs="Arial"/>
          <w:color w:val="000000"/>
        </w:rPr>
      </w:pPr>
    </w:p>
    <w:tbl>
      <w:tblPr>
        <w:tblStyle w:val="a2"/>
        <w:tblW w:w="8504"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8504"/>
      </w:tblGrid>
      <w:tr w:rsidR="00A274A3">
        <w:tc>
          <w:tcPr>
            <w:tcW w:w="8504" w:type="dxa"/>
            <w:tcBorders>
              <w:top w:val="single" w:sz="4" w:space="0" w:color="BFBFBF"/>
              <w:bottom w:val="single" w:sz="4" w:space="0" w:color="BFBFBF"/>
            </w:tcBorders>
            <w:tcMar>
              <w:top w:w="113" w:type="dxa"/>
              <w:bottom w:w="113" w:type="dxa"/>
            </w:tcMar>
          </w:tcPr>
          <w:p w:rsidR="00A274A3" w:rsidRDefault="00D75FB3">
            <w:p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 xml:space="preserve">Modernización de las prácticas de </w:t>
            </w:r>
            <w:proofErr w:type="spellStart"/>
            <w:r>
              <w:rPr>
                <w:rFonts w:ascii="Arial" w:eastAsia="Arial" w:hAnsi="Arial" w:cs="Arial"/>
                <w:b/>
              </w:rPr>
              <w:t>lecto</w:t>
            </w:r>
            <w:proofErr w:type="spellEnd"/>
            <w:r>
              <w:rPr>
                <w:rFonts w:ascii="Arial" w:eastAsia="Arial" w:hAnsi="Arial" w:cs="Arial"/>
                <w:b/>
              </w:rPr>
              <w:t xml:space="preserve"> comprensión </w:t>
            </w:r>
            <w:r>
              <w:rPr>
                <w:rFonts w:ascii="Arial" w:eastAsia="Arial" w:hAnsi="Arial" w:cs="Arial"/>
                <w:b/>
                <w:color w:val="000000"/>
              </w:rPr>
              <w:t>en inglés técnico mediante recursos digitales: una prueba piloto en la UNCA</w:t>
            </w:r>
          </w:p>
        </w:tc>
      </w:tr>
      <w:tr w:rsidR="00A274A3">
        <w:tc>
          <w:tcPr>
            <w:tcW w:w="8504" w:type="dxa"/>
            <w:tcBorders>
              <w:top w:val="single" w:sz="4" w:space="0" w:color="BFBFBF"/>
              <w:bottom w:val="single" w:sz="4" w:space="0" w:color="BFBFBF"/>
            </w:tcBorders>
            <w:tcMar>
              <w:top w:w="113" w:type="dxa"/>
              <w:bottom w:w="113" w:type="dxa"/>
            </w:tcMar>
          </w:tcPr>
          <w:p w:rsidR="00A274A3" w:rsidRDefault="00D75FB3">
            <w:pPr>
              <w:pBdr>
                <w:top w:val="nil"/>
                <w:left w:val="nil"/>
                <w:bottom w:val="nil"/>
                <w:right w:val="nil"/>
                <w:between w:val="nil"/>
              </w:pBdr>
              <w:rPr>
                <w:rFonts w:ascii="Arial" w:eastAsia="Arial" w:hAnsi="Arial" w:cs="Arial"/>
                <w:color w:val="000000"/>
              </w:rPr>
            </w:pPr>
            <w:r>
              <w:rPr>
                <w:rFonts w:ascii="Arial" w:eastAsia="Arial" w:hAnsi="Arial" w:cs="Arial"/>
                <w:color w:val="000000"/>
              </w:rPr>
              <w:t>Pascual, Viviana Inés - vivianainespascual@gmail.com</w:t>
            </w:r>
            <w:r>
              <w:rPr>
                <w:rFonts w:ascii="Arial" w:eastAsia="Arial" w:hAnsi="Arial" w:cs="Arial"/>
              </w:rPr>
              <w:t>;</w:t>
            </w:r>
            <w:r>
              <w:rPr>
                <w:rFonts w:ascii="Arial" w:eastAsia="Arial" w:hAnsi="Arial" w:cs="Arial"/>
                <w:color w:val="000000"/>
              </w:rPr>
              <w:t xml:space="preserve"> Aguirre, Lidia </w:t>
            </w:r>
            <w:r>
              <w:rPr>
                <w:rFonts w:ascii="Arial" w:eastAsia="Arial" w:hAnsi="Arial" w:cs="Arial"/>
              </w:rPr>
              <w:t>Edith</w:t>
            </w:r>
            <w:r>
              <w:rPr>
                <w:rFonts w:ascii="Arial" w:eastAsia="Arial" w:hAnsi="Arial" w:cs="Arial"/>
                <w:color w:val="000000"/>
              </w:rPr>
              <w:t>. - lidia.aguirre@gmail.com</w:t>
            </w:r>
            <w:r>
              <w:rPr>
                <w:rFonts w:ascii="Arial" w:eastAsia="Arial" w:hAnsi="Arial" w:cs="Arial"/>
              </w:rPr>
              <w:t>;</w:t>
            </w:r>
            <w:r>
              <w:rPr>
                <w:rFonts w:ascii="Arial" w:eastAsia="Arial" w:hAnsi="Arial" w:cs="Arial"/>
                <w:color w:val="000000"/>
              </w:rPr>
              <w:t xml:space="preserve"> </w:t>
            </w:r>
            <w:proofErr w:type="spellStart"/>
            <w:r>
              <w:rPr>
                <w:rFonts w:ascii="Arial" w:eastAsia="Arial" w:hAnsi="Arial" w:cs="Arial"/>
                <w:color w:val="000000"/>
              </w:rPr>
              <w:t>Russo</w:t>
            </w:r>
            <w:proofErr w:type="spellEnd"/>
            <w:r>
              <w:rPr>
                <w:rFonts w:ascii="Arial" w:eastAsia="Arial" w:hAnsi="Arial" w:cs="Arial"/>
                <w:color w:val="000000"/>
              </w:rPr>
              <w:t>, Bruno Heber -</w:t>
            </w:r>
            <w:r>
              <w:rPr>
                <w:rFonts w:ascii="Arial" w:eastAsia="Arial" w:hAnsi="Arial" w:cs="Arial"/>
              </w:rPr>
              <w:t>bhrusso@outlook</w:t>
            </w:r>
            <w:hyperlink r:id="rId8">
              <w:r>
                <w:rPr>
                  <w:rFonts w:ascii="Arial" w:eastAsia="Arial" w:hAnsi="Arial" w:cs="Arial"/>
                  <w:color w:val="000000"/>
                </w:rPr>
                <w:t>.com</w:t>
              </w:r>
            </w:hyperlink>
          </w:p>
        </w:tc>
      </w:tr>
      <w:tr w:rsidR="00A274A3">
        <w:tc>
          <w:tcPr>
            <w:tcW w:w="8504" w:type="dxa"/>
            <w:tcBorders>
              <w:top w:val="single" w:sz="4" w:space="0" w:color="BFBFBF"/>
              <w:bottom w:val="single" w:sz="4" w:space="0" w:color="BFBFBF"/>
            </w:tcBorders>
            <w:tcMar>
              <w:top w:w="113" w:type="dxa"/>
              <w:bottom w:w="113" w:type="dxa"/>
            </w:tcMar>
          </w:tcPr>
          <w:p w:rsidR="00A274A3" w:rsidRDefault="00D75FB3">
            <w:pPr>
              <w:pBdr>
                <w:top w:val="nil"/>
                <w:left w:val="nil"/>
                <w:bottom w:val="nil"/>
                <w:right w:val="nil"/>
                <w:between w:val="nil"/>
              </w:pBdr>
              <w:rPr>
                <w:rFonts w:ascii="Arial" w:eastAsia="Arial" w:hAnsi="Arial" w:cs="Arial"/>
                <w:color w:val="000000"/>
              </w:rPr>
            </w:pPr>
            <w:r>
              <w:rPr>
                <w:rFonts w:ascii="Arial" w:eastAsia="Arial" w:hAnsi="Arial" w:cs="Arial"/>
                <w:color w:val="000000"/>
              </w:rPr>
              <w:t>Facultad de Ciencias Agrarias. Universidad Nacional de Catamarca</w:t>
            </w:r>
          </w:p>
        </w:tc>
      </w:tr>
      <w:tr w:rsidR="00A274A3">
        <w:tc>
          <w:tcPr>
            <w:tcW w:w="8504" w:type="dxa"/>
            <w:tcBorders>
              <w:top w:val="single" w:sz="4" w:space="0" w:color="BFBFBF"/>
              <w:bottom w:val="single" w:sz="4" w:space="0" w:color="BFBFBF"/>
            </w:tcBorders>
            <w:tcMar>
              <w:top w:w="113" w:type="dxa"/>
              <w:bottom w:w="113" w:type="dxa"/>
            </w:tcMar>
          </w:tcPr>
          <w:p w:rsidR="00A274A3" w:rsidRDefault="00D75FB3">
            <w:pPr>
              <w:pBdr>
                <w:top w:val="nil"/>
                <w:left w:val="nil"/>
                <w:bottom w:val="nil"/>
                <w:right w:val="nil"/>
                <w:between w:val="nil"/>
              </w:pBdr>
              <w:rPr>
                <w:rFonts w:ascii="Arial" w:eastAsia="Arial" w:hAnsi="Arial" w:cs="Arial"/>
                <w:color w:val="000000"/>
              </w:rPr>
            </w:pPr>
            <w:r>
              <w:rPr>
                <w:rFonts w:ascii="Arial" w:eastAsia="Arial" w:hAnsi="Arial" w:cs="Arial"/>
                <w:color w:val="000000"/>
              </w:rPr>
              <w:t>EJE N°6</w:t>
            </w:r>
          </w:p>
        </w:tc>
      </w:tr>
    </w:tbl>
    <w:p w:rsidR="00A274A3" w:rsidRDefault="00A274A3">
      <w:pPr>
        <w:spacing w:after="120"/>
        <w:rPr>
          <w:rFonts w:ascii="Arial" w:eastAsia="Arial" w:hAnsi="Arial" w:cs="Arial"/>
          <w:i/>
        </w:rPr>
      </w:pPr>
    </w:p>
    <w:p w:rsidR="00A274A3" w:rsidRDefault="00D75FB3">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PALABRAS CLAVE: </w:t>
      </w:r>
      <w:r>
        <w:rPr>
          <w:rFonts w:ascii="Arial" w:eastAsia="Arial" w:hAnsi="Arial" w:cs="Arial"/>
        </w:rPr>
        <w:t>Herramientas digitales; comprensión lectora; traducción</w:t>
      </w:r>
      <w:r>
        <w:rPr>
          <w:rFonts w:ascii="Arial" w:eastAsia="Arial" w:hAnsi="Arial" w:cs="Arial"/>
          <w:color w:val="000000"/>
        </w:rPr>
        <w:t>.</w:t>
      </w:r>
    </w:p>
    <w:p w:rsidR="00A274A3" w:rsidRDefault="00A274A3">
      <w:pPr>
        <w:spacing w:after="120"/>
        <w:rPr>
          <w:rFonts w:ascii="Arial" w:eastAsia="Arial" w:hAnsi="Arial" w:cs="Arial"/>
          <w:i/>
        </w:rPr>
      </w:pPr>
    </w:p>
    <w:p w:rsidR="00A274A3" w:rsidRDefault="00D75FB3">
      <w:p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INTRODUCCIÓN</w:t>
      </w:r>
    </w:p>
    <w:p w:rsidR="00A274A3" w:rsidRDefault="00D75FB3">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Para los estudiantes cuya lengua materna no es el inglés, la comprensión de textos científicos en este idioma representa un desafío recurrente, especialmente en el ámbito de la educación superior.</w:t>
      </w:r>
      <w:r>
        <w:rPr>
          <w:rFonts w:ascii="Arial" w:eastAsia="Arial" w:hAnsi="Arial" w:cs="Arial"/>
          <w:color w:val="000000"/>
        </w:rPr>
        <w:t xml:space="preserve"> Los recursos</w:t>
      </w:r>
      <w:r>
        <w:rPr>
          <w:rFonts w:ascii="Arial" w:eastAsia="Arial" w:hAnsi="Arial" w:cs="Arial"/>
          <w:color w:val="000000"/>
          <w:highlight w:val="white"/>
        </w:rPr>
        <w:t xml:space="preserve"> de traducción tradicionales, tales como diccionarios bilingües y glosarios técnicos, han quedado desactualizados frente a un mar de herramientas digitales que no solo crecen en número y variedad, sino que también contribuyen a aumentar la inteligibilidad del texto traducido. </w:t>
      </w:r>
      <w:r>
        <w:rPr>
          <w:rFonts w:ascii="Arial" w:eastAsia="Arial" w:hAnsi="Arial" w:cs="Arial"/>
          <w:highlight w:val="white"/>
        </w:rPr>
        <w:t>Las herramientas digitales de traducción (HDT)</w:t>
      </w:r>
      <w:r>
        <w:rPr>
          <w:rFonts w:ascii="Arial" w:eastAsia="Arial" w:hAnsi="Arial" w:cs="Arial"/>
          <w:color w:val="000000"/>
          <w:highlight w:val="white"/>
        </w:rPr>
        <w:t xml:space="preserve"> </w:t>
      </w:r>
      <w:r>
        <w:rPr>
          <w:rFonts w:ascii="Arial" w:eastAsia="Arial" w:hAnsi="Arial" w:cs="Arial"/>
          <w:highlight w:val="white"/>
        </w:rPr>
        <w:t xml:space="preserve">ya son una parte innegable </w:t>
      </w:r>
      <w:r>
        <w:rPr>
          <w:rFonts w:ascii="Arial" w:eastAsia="Arial" w:hAnsi="Arial" w:cs="Arial"/>
          <w:color w:val="000000"/>
          <w:highlight w:val="white"/>
        </w:rPr>
        <w:t>de nuestra realidad</w:t>
      </w:r>
      <w:r>
        <w:rPr>
          <w:rFonts w:ascii="Arial" w:eastAsia="Arial" w:hAnsi="Arial" w:cs="Arial"/>
          <w:highlight w:val="white"/>
        </w:rPr>
        <w:t xml:space="preserve"> y es muy posible </w:t>
      </w:r>
      <w:r>
        <w:rPr>
          <w:rFonts w:ascii="Arial" w:eastAsia="Arial" w:hAnsi="Arial" w:cs="Arial"/>
          <w:color w:val="000000"/>
          <w:highlight w:val="white"/>
        </w:rPr>
        <w:t xml:space="preserve">que </w:t>
      </w:r>
      <w:r>
        <w:rPr>
          <w:rFonts w:ascii="Arial" w:eastAsia="Arial" w:hAnsi="Arial" w:cs="Arial"/>
          <w:highlight w:val="white"/>
        </w:rPr>
        <w:t>continúe así</w:t>
      </w:r>
      <w:r>
        <w:rPr>
          <w:rFonts w:ascii="Arial" w:eastAsia="Arial" w:hAnsi="Arial" w:cs="Arial"/>
          <w:color w:val="000000"/>
          <w:highlight w:val="white"/>
        </w:rPr>
        <w:t xml:space="preserve"> en los años ve</w:t>
      </w:r>
      <w:r>
        <w:rPr>
          <w:rFonts w:ascii="Arial" w:eastAsia="Arial" w:hAnsi="Arial" w:cs="Arial"/>
          <w:highlight w:val="white"/>
        </w:rPr>
        <w:t>nideros</w:t>
      </w:r>
      <w:r>
        <w:rPr>
          <w:rFonts w:ascii="Arial" w:eastAsia="Arial" w:hAnsi="Arial" w:cs="Arial"/>
          <w:color w:val="000000"/>
          <w:highlight w:val="white"/>
        </w:rPr>
        <w:t xml:space="preserve">. </w:t>
      </w:r>
      <w:r>
        <w:rPr>
          <w:rFonts w:ascii="Arial" w:eastAsia="Arial" w:hAnsi="Arial" w:cs="Arial"/>
          <w:highlight w:val="white"/>
        </w:rPr>
        <w:t>Al mismo tiempo del avance tecnológico,</w:t>
      </w:r>
      <w:r>
        <w:rPr>
          <w:rFonts w:ascii="Arial" w:eastAsia="Arial" w:hAnsi="Arial" w:cs="Arial"/>
          <w:color w:val="000000"/>
          <w:highlight w:val="white"/>
        </w:rPr>
        <w:t xml:space="preserve"> la exactitud de </w:t>
      </w:r>
      <w:r>
        <w:rPr>
          <w:rFonts w:ascii="Arial" w:eastAsia="Arial" w:hAnsi="Arial" w:cs="Arial"/>
          <w:highlight w:val="white"/>
        </w:rPr>
        <w:t xml:space="preserve">las </w:t>
      </w:r>
      <w:r>
        <w:rPr>
          <w:rFonts w:ascii="Arial" w:eastAsia="Arial" w:hAnsi="Arial" w:cs="Arial"/>
          <w:color w:val="000000"/>
          <w:highlight w:val="white"/>
        </w:rPr>
        <w:t xml:space="preserve">traducciones </w:t>
      </w:r>
      <w:r>
        <w:rPr>
          <w:rFonts w:ascii="Arial" w:eastAsia="Arial" w:hAnsi="Arial" w:cs="Arial"/>
          <w:highlight w:val="white"/>
        </w:rPr>
        <w:t>arrojadas</w:t>
      </w:r>
      <w:r>
        <w:rPr>
          <w:rFonts w:ascii="Arial" w:eastAsia="Arial" w:hAnsi="Arial" w:cs="Arial"/>
          <w:color w:val="000000"/>
          <w:highlight w:val="white"/>
        </w:rPr>
        <w:t xml:space="preserve"> por estas herramientas </w:t>
      </w:r>
      <w:r>
        <w:rPr>
          <w:rFonts w:ascii="Arial" w:eastAsia="Arial" w:hAnsi="Arial" w:cs="Arial"/>
          <w:highlight w:val="white"/>
        </w:rPr>
        <w:t>mejora exponencialmente</w:t>
      </w:r>
      <w:r>
        <w:rPr>
          <w:rFonts w:ascii="Arial" w:eastAsia="Arial" w:hAnsi="Arial" w:cs="Arial"/>
          <w:color w:val="000000"/>
          <w:highlight w:val="white"/>
        </w:rPr>
        <w:t xml:space="preserve">. </w:t>
      </w:r>
      <w:r>
        <w:rPr>
          <w:rFonts w:ascii="Arial" w:eastAsia="Arial" w:hAnsi="Arial" w:cs="Arial"/>
          <w:highlight w:val="white"/>
        </w:rPr>
        <w:t>Según</w:t>
      </w:r>
      <w:r>
        <w:rPr>
          <w:rFonts w:ascii="Arial" w:eastAsia="Arial" w:hAnsi="Arial" w:cs="Arial"/>
          <w:color w:val="000000"/>
          <w:highlight w:val="white"/>
        </w:rPr>
        <w:t xml:space="preserve"> </w:t>
      </w:r>
      <w:r>
        <w:rPr>
          <w:rFonts w:ascii="Arial" w:eastAsia="Arial" w:hAnsi="Arial" w:cs="Arial"/>
          <w:highlight w:val="white"/>
        </w:rPr>
        <w:t xml:space="preserve">lo afirma </w:t>
      </w:r>
      <w:proofErr w:type="spellStart"/>
      <w:r>
        <w:rPr>
          <w:rFonts w:ascii="Arial" w:eastAsia="Arial" w:hAnsi="Arial" w:cs="Arial"/>
          <w:highlight w:val="white"/>
        </w:rPr>
        <w:t>Klimova</w:t>
      </w:r>
      <w:proofErr w:type="spellEnd"/>
      <w:r>
        <w:rPr>
          <w:rFonts w:ascii="Arial" w:eastAsia="Arial" w:hAnsi="Arial" w:cs="Arial"/>
          <w:highlight w:val="white"/>
        </w:rPr>
        <w:t xml:space="preserve"> (2025), resulta inevitable</w:t>
      </w:r>
      <w:r>
        <w:rPr>
          <w:rFonts w:ascii="Arial" w:eastAsia="Arial" w:hAnsi="Arial" w:cs="Arial"/>
          <w:color w:val="000000"/>
          <w:highlight w:val="white"/>
        </w:rPr>
        <w:t xml:space="preserve"> que los estudiantes las </w:t>
      </w:r>
      <w:r>
        <w:rPr>
          <w:rFonts w:ascii="Arial" w:eastAsia="Arial" w:hAnsi="Arial" w:cs="Arial"/>
          <w:highlight w:val="white"/>
        </w:rPr>
        <w:t>utilicen en este</w:t>
      </w:r>
      <w:r>
        <w:rPr>
          <w:rFonts w:ascii="Arial" w:eastAsia="Arial" w:hAnsi="Arial" w:cs="Arial"/>
          <w:color w:val="000000"/>
          <w:highlight w:val="white"/>
        </w:rPr>
        <w:t xml:space="preserve"> tipo de cursos</w:t>
      </w:r>
      <w:r>
        <w:rPr>
          <w:rFonts w:ascii="Arial" w:eastAsia="Arial" w:hAnsi="Arial" w:cs="Arial"/>
          <w:highlight w:val="white"/>
        </w:rPr>
        <w:t xml:space="preserve">. </w:t>
      </w:r>
      <w:r>
        <w:rPr>
          <w:rFonts w:ascii="Arial" w:eastAsia="Arial" w:hAnsi="Arial" w:cs="Arial"/>
          <w:color w:val="000000"/>
          <w:highlight w:val="white"/>
        </w:rPr>
        <w:t>Para favorecer el desarrollo de este proceso formativo en un entorno comunicativo en constante evolución se vuelve imprescindible incorporar estas tecnologías digitales. Hasta el momento, la cátedra de Inglés Técnico de la Facultad de Ciencias Agrarias de la Universidad Nacional de Catamarca ha trabajado principalmente con materiales didácticos convencionales para ayudar a los estudiantes de las distintas carreras a comprender textos científicos en inglés. Sin embargo, la necesidad de introducir innovaciones tecnológicas en las prácticas de enseñanza plantea la urgencia de revisar qué tipos de materiales se ajustan mejor a las demandas actuales del proceso de aprendizaje.</w:t>
      </w:r>
    </w:p>
    <w:p w:rsidR="00A274A3" w:rsidRDefault="00D75FB3">
      <w:p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OBJETIVOS</w:t>
      </w:r>
    </w:p>
    <w:p w:rsidR="00A274A3" w:rsidRDefault="00D75FB3">
      <w:pPr>
        <w:pBdr>
          <w:top w:val="nil"/>
          <w:left w:val="nil"/>
          <w:bottom w:val="nil"/>
          <w:right w:val="nil"/>
          <w:between w:val="nil"/>
        </w:pBdr>
        <w:spacing w:after="0"/>
        <w:jc w:val="both"/>
        <w:rPr>
          <w:rFonts w:ascii="Arial" w:eastAsia="Arial" w:hAnsi="Arial" w:cs="Arial"/>
          <w:color w:val="000000"/>
          <w:highlight w:val="white"/>
        </w:rPr>
      </w:pPr>
      <w:r>
        <w:rPr>
          <w:rFonts w:ascii="Arial" w:eastAsia="Arial" w:hAnsi="Arial" w:cs="Arial"/>
          <w:color w:val="000000"/>
          <w:highlight w:val="white"/>
        </w:rPr>
        <w:t>El objetivo de este trabajo es analizar la incorporación de herramientas digitales de traducción en la cátedra de</w:t>
      </w:r>
      <w:r>
        <w:rPr>
          <w:rFonts w:ascii="Arial" w:eastAsia="Arial" w:hAnsi="Arial" w:cs="Arial"/>
          <w:color w:val="000000"/>
        </w:rPr>
        <w:t xml:space="preserve"> Inglés Técnico de </w:t>
      </w:r>
      <w:r>
        <w:rPr>
          <w:rFonts w:ascii="Arial" w:eastAsia="Arial" w:hAnsi="Arial" w:cs="Arial"/>
          <w:color w:val="000000"/>
          <w:highlight w:val="white"/>
        </w:rPr>
        <w:t>la Tecnicatura Universitaria en Procesamiento Agroalimentario (TUPA) de la Facultad de Ciencias Agrarias para contribuir a actualizar y mejorar las prácticas de enseñanza</w:t>
      </w:r>
      <w:r>
        <w:rPr>
          <w:rFonts w:ascii="Arial" w:eastAsia="Arial" w:hAnsi="Arial" w:cs="Arial"/>
          <w:color w:val="000000"/>
        </w:rPr>
        <w:t xml:space="preserve">. Se pretende evaluar los resultados obtenidos en una prueba piloto, a la vez que se reflexiona sobre las ventajas y limitaciones del uso de estas herramientas y sobre el rol del docente frente a estos cursos. </w:t>
      </w:r>
    </w:p>
    <w:p w:rsidR="00A274A3" w:rsidRDefault="00D75FB3">
      <w:p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MATERIALES Y MÉTODOS</w:t>
      </w:r>
    </w:p>
    <w:p w:rsidR="00A274A3" w:rsidRDefault="00D75FB3">
      <w:pPr>
        <w:pBdr>
          <w:top w:val="nil"/>
          <w:left w:val="nil"/>
          <w:bottom w:val="nil"/>
          <w:right w:val="nil"/>
          <w:between w:val="nil"/>
        </w:pBdr>
        <w:spacing w:after="0"/>
        <w:jc w:val="both"/>
        <w:rPr>
          <w:rFonts w:ascii="Arial" w:eastAsia="Arial" w:hAnsi="Arial" w:cs="Arial"/>
        </w:rPr>
      </w:pPr>
      <w:bookmarkStart w:id="0" w:name="_heading=h.uoax4uq41atb" w:colFirst="0" w:colLast="0"/>
      <w:bookmarkEnd w:id="0"/>
      <w:r>
        <w:rPr>
          <w:rFonts w:ascii="Arial" w:eastAsia="Arial" w:hAnsi="Arial" w:cs="Arial"/>
          <w:color w:val="000000"/>
        </w:rPr>
        <w:t>Para esta investigación</w:t>
      </w:r>
      <w:r>
        <w:rPr>
          <w:rFonts w:ascii="Arial" w:eastAsia="Arial" w:hAnsi="Arial" w:cs="Arial"/>
        </w:rPr>
        <w:t xml:space="preserve">, se adopta el paradigma interpretativo y </w:t>
      </w:r>
      <w:proofErr w:type="spellStart"/>
      <w:r>
        <w:rPr>
          <w:rFonts w:ascii="Arial" w:eastAsia="Arial" w:hAnsi="Arial" w:cs="Arial"/>
        </w:rPr>
        <w:t>sociocrítico</w:t>
      </w:r>
      <w:proofErr w:type="spellEnd"/>
      <w:r>
        <w:rPr>
          <w:rFonts w:ascii="Arial" w:eastAsia="Arial" w:hAnsi="Arial" w:cs="Arial"/>
        </w:rPr>
        <w:t xml:space="preserve"> porque existe una relación de comunicación entre el investigador, el experto del área disciplinar, los sujetos que necesitan adentrarse en el uso apropiado del lenguaje científico y los géneros textuales a analizar, asumiendo un carácter </w:t>
      </w:r>
      <w:proofErr w:type="spellStart"/>
      <w:r>
        <w:rPr>
          <w:rFonts w:ascii="Arial" w:eastAsia="Arial" w:hAnsi="Arial" w:cs="Arial"/>
        </w:rPr>
        <w:t>autorreflexivo</w:t>
      </w:r>
      <w:proofErr w:type="spellEnd"/>
      <w:r>
        <w:rPr>
          <w:rFonts w:ascii="Arial" w:eastAsia="Arial" w:hAnsi="Arial" w:cs="Arial"/>
        </w:rPr>
        <w:t xml:space="preserve">, </w:t>
      </w:r>
      <w:proofErr w:type="spellStart"/>
      <w:r>
        <w:rPr>
          <w:rFonts w:ascii="Arial" w:eastAsia="Arial" w:hAnsi="Arial" w:cs="Arial"/>
        </w:rPr>
        <w:t>emancipatorio</w:t>
      </w:r>
      <w:proofErr w:type="spellEnd"/>
      <w:r>
        <w:rPr>
          <w:rFonts w:ascii="Arial" w:eastAsia="Arial" w:hAnsi="Arial" w:cs="Arial"/>
        </w:rPr>
        <w:t xml:space="preserve"> y transformador para todos los involucrados. </w:t>
      </w:r>
      <w:r>
        <w:rPr>
          <w:rFonts w:ascii="Arial" w:eastAsia="Arial" w:hAnsi="Arial" w:cs="Arial"/>
          <w:color w:val="000000"/>
          <w:highlight w:val="white"/>
        </w:rPr>
        <w:t xml:space="preserve">La presente se desprende de una prueba piloto llevada a cabo en el marco del Proyecto PIDI 2024-2025, con participación de estudiantes de la Tecnicatura Universitaria en Procesamiento Agroalimentario (TUPA) de la Facultad de Ciencias Agrarias durante el segundo cuatrimestre del año 2024. Esta </w:t>
      </w:r>
      <w:r>
        <w:rPr>
          <w:rFonts w:ascii="Arial" w:eastAsia="Arial" w:hAnsi="Arial" w:cs="Arial"/>
          <w:color w:val="000000"/>
          <w:highlight w:val="white"/>
        </w:rPr>
        <w:lastRenderedPageBreak/>
        <w:t>prueba consistió en incorporar HDT al dictado de las clases de Inglés Técnico.</w:t>
      </w:r>
      <w:r>
        <w:rPr>
          <w:rFonts w:ascii="Arial" w:eastAsia="Arial" w:hAnsi="Arial" w:cs="Arial"/>
          <w:color w:val="000000"/>
        </w:rPr>
        <w:t xml:space="preserve"> Las tres HDT elegidas fueron Google </w:t>
      </w:r>
      <w:proofErr w:type="spellStart"/>
      <w:r>
        <w:rPr>
          <w:rFonts w:ascii="Arial" w:eastAsia="Arial" w:hAnsi="Arial" w:cs="Arial"/>
        </w:rPr>
        <w:t>Translate</w:t>
      </w:r>
      <w:proofErr w:type="spellEnd"/>
      <w:r>
        <w:rPr>
          <w:rFonts w:ascii="Arial" w:eastAsia="Arial" w:hAnsi="Arial" w:cs="Arial"/>
        </w:rPr>
        <w:t xml:space="preserve"> y</w:t>
      </w:r>
      <w:r>
        <w:rPr>
          <w:rFonts w:ascii="Arial" w:eastAsia="Arial" w:hAnsi="Arial" w:cs="Arial"/>
          <w:color w:val="000000"/>
        </w:rPr>
        <w:t xml:space="preserve"> </w:t>
      </w:r>
      <w:proofErr w:type="spellStart"/>
      <w:r w:rsidR="00354F5B">
        <w:rPr>
          <w:rFonts w:ascii="Arial" w:eastAsia="Arial" w:hAnsi="Arial" w:cs="Arial"/>
        </w:rPr>
        <w:t>Deep</w:t>
      </w:r>
      <w:r>
        <w:rPr>
          <w:rFonts w:ascii="Arial" w:eastAsia="Arial" w:hAnsi="Arial" w:cs="Arial"/>
        </w:rPr>
        <w:t>L</w:t>
      </w:r>
      <w:proofErr w:type="spellEnd"/>
      <w:r>
        <w:rPr>
          <w:rFonts w:ascii="Arial" w:eastAsia="Arial" w:hAnsi="Arial" w:cs="Arial"/>
        </w:rPr>
        <w:t xml:space="preserve">, conocidas como herramientas de traducción automática </w:t>
      </w:r>
      <w:r>
        <w:rPr>
          <w:rFonts w:ascii="Arial" w:eastAsia="Arial" w:hAnsi="Arial" w:cs="Arial"/>
          <w:color w:val="000000"/>
        </w:rPr>
        <w:t xml:space="preserve">y </w:t>
      </w:r>
      <w:proofErr w:type="spellStart"/>
      <w:r>
        <w:rPr>
          <w:rFonts w:ascii="Arial" w:eastAsia="Arial" w:hAnsi="Arial" w:cs="Arial"/>
          <w:color w:val="000000"/>
        </w:rPr>
        <w:t>C</w:t>
      </w:r>
      <w:r w:rsidR="00354F5B">
        <w:rPr>
          <w:rFonts w:ascii="Arial" w:eastAsia="Arial" w:hAnsi="Arial" w:cs="Arial"/>
        </w:rPr>
        <w:t>hat</w:t>
      </w:r>
      <w:r>
        <w:rPr>
          <w:rFonts w:ascii="Arial" w:eastAsia="Arial" w:hAnsi="Arial" w:cs="Arial"/>
        </w:rPr>
        <w:t>GPT</w:t>
      </w:r>
      <w:proofErr w:type="spellEnd"/>
      <w:r>
        <w:rPr>
          <w:rFonts w:ascii="Arial" w:eastAsia="Arial" w:hAnsi="Arial" w:cs="Arial"/>
        </w:rPr>
        <w:t>, también referido como modelo de lenguaje generativo</w:t>
      </w:r>
      <w:r>
        <w:rPr>
          <w:rFonts w:ascii="Arial" w:eastAsia="Arial" w:hAnsi="Arial" w:cs="Arial"/>
          <w:color w:val="000000"/>
        </w:rPr>
        <w:t xml:space="preserve">. El dictado de la materia se organizó en dos momentos. Como primera etapa, al inicio de las clases, los estudiantes trabajaron con diccionarios bilingües en formato papel y online. Se consideró que, en estos primeros momentos, era necesaria la utilización de recursos tradicionales, ya que los ejes temáticos abordados aquí se relacionan con conceptos gramaticales introductorios e ítems lexicales más simples, tales como sustantivos. En la segunda etapa, ya se identifican frases; para finalmente avanzar hacia la lectura de párrafos. Con conocimiento integral de la </w:t>
      </w:r>
      <w:proofErr w:type="spellStart"/>
      <w:r>
        <w:rPr>
          <w:rFonts w:ascii="Arial" w:eastAsia="Arial" w:hAnsi="Arial" w:cs="Arial"/>
        </w:rPr>
        <w:t>macroestructura</w:t>
      </w:r>
      <w:proofErr w:type="spellEnd"/>
      <w:r>
        <w:rPr>
          <w:rFonts w:ascii="Arial" w:eastAsia="Arial" w:hAnsi="Arial" w:cs="Arial"/>
          <w:color w:val="000000"/>
        </w:rPr>
        <w:t xml:space="preserve"> de los textos en inglés, los estudiantes trabajaron con fragmentos cortos de aproximadamente 150 palabras y </w:t>
      </w:r>
      <w:r>
        <w:rPr>
          <w:rFonts w:ascii="Arial" w:eastAsia="Arial" w:hAnsi="Arial" w:cs="Arial"/>
        </w:rPr>
        <w:t xml:space="preserve">utilizaron </w:t>
      </w:r>
      <w:r>
        <w:rPr>
          <w:rFonts w:ascii="Arial" w:eastAsia="Arial" w:hAnsi="Arial" w:cs="Arial"/>
          <w:color w:val="000000"/>
        </w:rPr>
        <w:t xml:space="preserve">las HDT asignadas para tal fin. Durante un total de tres clases, los </w:t>
      </w:r>
      <w:r>
        <w:rPr>
          <w:rFonts w:ascii="Arial" w:eastAsia="Arial" w:hAnsi="Arial" w:cs="Arial"/>
        </w:rPr>
        <w:t>estudiantes</w:t>
      </w:r>
      <w:r>
        <w:rPr>
          <w:rFonts w:ascii="Arial" w:eastAsia="Arial" w:hAnsi="Arial" w:cs="Arial"/>
          <w:color w:val="000000"/>
        </w:rPr>
        <w:t xml:space="preserve"> se dividieron en tres grupos, cada uno </w:t>
      </w:r>
      <w:r>
        <w:rPr>
          <w:rFonts w:ascii="Arial" w:eastAsia="Arial" w:hAnsi="Arial" w:cs="Arial"/>
        </w:rPr>
        <w:t>trabajó</w:t>
      </w:r>
      <w:r>
        <w:rPr>
          <w:rFonts w:ascii="Arial" w:eastAsia="Arial" w:hAnsi="Arial" w:cs="Arial"/>
          <w:color w:val="000000"/>
        </w:rPr>
        <w:t xml:space="preserve"> con una HDT distinta. Al concluir cada clase, los estudiantes debían socializar, por grupo, la traducción arrojada por la herramienta digital y consignar las posibles fallas de coherencia o cohesión textual que pudiesen encontrar en esa versión traducida. De esta manera, al finalizar el cursado de la materia, cada grupo logró traducir los diferentes textos, aplicando todas las HDT propuestas. </w:t>
      </w:r>
      <w:r>
        <w:rPr>
          <w:rFonts w:ascii="Arial" w:eastAsia="Arial" w:hAnsi="Arial" w:cs="Arial"/>
        </w:rPr>
        <w:t xml:space="preserve">Al concluir las clases, se realizó una medición cualitativa de la experiencia, mediante una entrevista con los estudiantes. Ellos debían relatar cómo resultó el trabajo con las HDT y seleccionar la que, a su criterio, les parecía la más adecuada. Finalmente debían sugerir otras tres herramientas además de las trabajadas en clase. </w:t>
      </w:r>
    </w:p>
    <w:p w:rsidR="00A274A3" w:rsidRDefault="00D75FB3">
      <w:pPr>
        <w:pBdr>
          <w:top w:val="nil"/>
          <w:left w:val="nil"/>
          <w:bottom w:val="nil"/>
          <w:right w:val="nil"/>
          <w:between w:val="nil"/>
        </w:pBdr>
        <w:spacing w:after="0"/>
        <w:jc w:val="both"/>
        <w:rPr>
          <w:rFonts w:ascii="Arial" w:eastAsia="Arial" w:hAnsi="Arial" w:cs="Arial"/>
          <w:b/>
        </w:rPr>
      </w:pPr>
      <w:r>
        <w:rPr>
          <w:rFonts w:ascii="Arial" w:eastAsia="Arial" w:hAnsi="Arial" w:cs="Arial"/>
          <w:b/>
          <w:color w:val="000000"/>
        </w:rPr>
        <w:t>RESULTADOS Y DISCUSIÓN</w:t>
      </w:r>
    </w:p>
    <w:p w:rsidR="00A274A3" w:rsidRDefault="00D75FB3">
      <w:pPr>
        <w:pBdr>
          <w:top w:val="nil"/>
          <w:left w:val="nil"/>
          <w:bottom w:val="nil"/>
          <w:right w:val="nil"/>
          <w:between w:val="nil"/>
        </w:pBdr>
        <w:spacing w:after="0"/>
        <w:jc w:val="both"/>
        <w:rPr>
          <w:rFonts w:ascii="Arial" w:eastAsia="Arial" w:hAnsi="Arial" w:cs="Arial"/>
        </w:rPr>
      </w:pPr>
      <w:r>
        <w:rPr>
          <w:rFonts w:ascii="Arial" w:eastAsia="Arial" w:hAnsi="Arial" w:cs="Arial"/>
        </w:rPr>
        <w:t xml:space="preserve">Al analizar los resultados obtenidos de la presente investigación, se detectó una diferencia significativa en el uso y abordaje de las herramientas digitales empleadas para la prueba piloto para la comprensión de textos técnicos en inglés. En particular, se identificaron distintos patrones de uso de los estudiantes con herramientas de traducción automática, como Google </w:t>
      </w:r>
      <w:proofErr w:type="spellStart"/>
      <w:r>
        <w:rPr>
          <w:rFonts w:ascii="Arial" w:eastAsia="Arial" w:hAnsi="Arial" w:cs="Arial"/>
        </w:rPr>
        <w:t>Translate</w:t>
      </w:r>
      <w:proofErr w:type="spellEnd"/>
      <w:r>
        <w:rPr>
          <w:rFonts w:ascii="Arial" w:eastAsia="Arial" w:hAnsi="Arial" w:cs="Arial"/>
        </w:rPr>
        <w:t xml:space="preserve"> o </w:t>
      </w:r>
      <w:proofErr w:type="spellStart"/>
      <w:r>
        <w:rPr>
          <w:rFonts w:ascii="Arial" w:eastAsia="Arial" w:hAnsi="Arial" w:cs="Arial"/>
        </w:rPr>
        <w:t>DeepL</w:t>
      </w:r>
      <w:proofErr w:type="spellEnd"/>
      <w:r>
        <w:rPr>
          <w:rFonts w:ascii="Arial" w:eastAsia="Arial" w:hAnsi="Arial" w:cs="Arial"/>
        </w:rPr>
        <w:t xml:space="preserve"> y los modelos de</w:t>
      </w:r>
      <w:r w:rsidR="00354F5B">
        <w:rPr>
          <w:rFonts w:ascii="Arial" w:eastAsia="Arial" w:hAnsi="Arial" w:cs="Arial"/>
        </w:rPr>
        <w:t xml:space="preserve"> lenguaje generativo, como </w:t>
      </w:r>
      <w:proofErr w:type="spellStart"/>
      <w:r w:rsidR="00354F5B">
        <w:rPr>
          <w:rFonts w:ascii="Arial" w:eastAsia="Arial" w:hAnsi="Arial" w:cs="Arial"/>
        </w:rPr>
        <w:t>Chat</w:t>
      </w:r>
      <w:r>
        <w:rPr>
          <w:rFonts w:ascii="Arial" w:eastAsia="Arial" w:hAnsi="Arial" w:cs="Arial"/>
        </w:rPr>
        <w:t>GPT</w:t>
      </w:r>
      <w:proofErr w:type="spellEnd"/>
      <w:r>
        <w:rPr>
          <w:rFonts w:ascii="Arial" w:eastAsia="Arial" w:hAnsi="Arial" w:cs="Arial"/>
        </w:rPr>
        <w:t xml:space="preserve">. Los primeros se caracterizan por ofrecer una traducción unidireccional, en la cual el usuario introduce el texto y recibe una traducción automática, sin posibilidad de interacción dialógica con la herramienta. </w:t>
      </w:r>
    </w:p>
    <w:p w:rsidR="00A274A3" w:rsidRDefault="00D75FB3">
      <w:pPr>
        <w:pBdr>
          <w:top w:val="nil"/>
          <w:left w:val="nil"/>
          <w:bottom w:val="nil"/>
          <w:right w:val="nil"/>
          <w:between w:val="nil"/>
        </w:pBdr>
        <w:spacing w:after="0"/>
        <w:jc w:val="both"/>
        <w:rPr>
          <w:rFonts w:ascii="Arial" w:eastAsia="Arial" w:hAnsi="Arial" w:cs="Arial"/>
        </w:rPr>
      </w:pPr>
      <w:r>
        <w:rPr>
          <w:rFonts w:ascii="Arial" w:eastAsia="Arial" w:hAnsi="Arial" w:cs="Arial"/>
        </w:rPr>
        <w:t xml:space="preserve">Desde una perspectiva pedagógica y en pos de los resultados obtenidos de la prueba piloto se infiere que el uso de estas herramientas puede propiciar una </w:t>
      </w:r>
      <w:bookmarkStart w:id="1" w:name="_GoBack"/>
      <w:r>
        <w:rPr>
          <w:rFonts w:ascii="Arial" w:eastAsia="Arial" w:hAnsi="Arial" w:cs="Arial"/>
        </w:rPr>
        <w:t>dependencia</w:t>
      </w:r>
      <w:bookmarkEnd w:id="1"/>
      <w:r>
        <w:rPr>
          <w:rFonts w:ascii="Arial" w:eastAsia="Arial" w:hAnsi="Arial" w:cs="Arial"/>
        </w:rPr>
        <w:t xml:space="preserve"> mayor de las traducciones proporcionadas por estas, ya que el proceso se limita a la reproducción del contenido sin exigir al estudiante un análisis más profundo ni promover estrategias de comprensión activa. Como sugie</w:t>
      </w:r>
      <w:r w:rsidR="00354F5B">
        <w:rPr>
          <w:rFonts w:ascii="Arial" w:eastAsia="Arial" w:hAnsi="Arial" w:cs="Arial"/>
        </w:rPr>
        <w:t xml:space="preserve">re </w:t>
      </w:r>
      <w:proofErr w:type="spellStart"/>
      <w:r w:rsidR="00354F5B">
        <w:rPr>
          <w:rFonts w:ascii="Arial" w:eastAsia="Arial" w:hAnsi="Arial" w:cs="Arial"/>
        </w:rPr>
        <w:t>Zhai</w:t>
      </w:r>
      <w:proofErr w:type="spellEnd"/>
      <w:r w:rsidR="00354F5B">
        <w:rPr>
          <w:rFonts w:ascii="Arial" w:eastAsia="Arial" w:hAnsi="Arial" w:cs="Arial"/>
        </w:rPr>
        <w:t xml:space="preserve"> (2024), la </w:t>
      </w:r>
      <w:proofErr w:type="spellStart"/>
      <w:r w:rsidR="00354F5B">
        <w:rPr>
          <w:rFonts w:ascii="Arial" w:eastAsia="Arial" w:hAnsi="Arial" w:cs="Arial"/>
        </w:rPr>
        <w:t>sobre</w:t>
      </w:r>
      <w:r>
        <w:rPr>
          <w:rFonts w:ascii="Arial" w:eastAsia="Arial" w:hAnsi="Arial" w:cs="Arial"/>
        </w:rPr>
        <w:t>dependencia</w:t>
      </w:r>
      <w:proofErr w:type="spellEnd"/>
      <w:r>
        <w:rPr>
          <w:rFonts w:ascii="Arial" w:eastAsia="Arial" w:hAnsi="Arial" w:cs="Arial"/>
        </w:rPr>
        <w:t xml:space="preserve"> de la IA y de las herramientas de traducción en la educación ocurre al aceptar sus recomendaciones sin cuestionar. Esto conduce a errores y dificultad para evaluar su fiabilidad. Los estudiantes pierden discernimiento, priorizando la facilidad de la IA sobre el juicio propio, afectando el pensamiento crítico y sus habilidades cognitivas. Además, este tipo de traductores no permiten detectar posibles interferencias semánticas ni ambigüedades contextuales dentro del texto original, lo que debilita la construcción de habilidades interpretativas. </w:t>
      </w:r>
    </w:p>
    <w:p w:rsidR="00A274A3" w:rsidRDefault="00D75FB3">
      <w:pPr>
        <w:pBdr>
          <w:top w:val="nil"/>
          <w:left w:val="nil"/>
          <w:bottom w:val="nil"/>
          <w:right w:val="nil"/>
          <w:between w:val="nil"/>
        </w:pBdr>
        <w:spacing w:after="0"/>
        <w:jc w:val="both"/>
        <w:rPr>
          <w:rFonts w:ascii="Arial" w:eastAsia="Arial" w:hAnsi="Arial" w:cs="Arial"/>
        </w:rPr>
      </w:pPr>
      <w:r>
        <w:rPr>
          <w:rFonts w:ascii="Arial" w:eastAsia="Arial" w:hAnsi="Arial" w:cs="Arial"/>
        </w:rPr>
        <w:t xml:space="preserve">Por el contrario, se observó que, al usar </w:t>
      </w:r>
      <w:r w:rsidR="00354F5B">
        <w:rPr>
          <w:rFonts w:ascii="Arial" w:eastAsia="Arial" w:hAnsi="Arial" w:cs="Arial"/>
        </w:rPr>
        <w:t xml:space="preserve">los modelos de IA, como el </w:t>
      </w:r>
      <w:proofErr w:type="spellStart"/>
      <w:r w:rsidR="00354F5B">
        <w:rPr>
          <w:rFonts w:ascii="Arial" w:eastAsia="Arial" w:hAnsi="Arial" w:cs="Arial"/>
        </w:rPr>
        <w:t>Chat</w:t>
      </w:r>
      <w:r>
        <w:rPr>
          <w:rFonts w:ascii="Arial" w:eastAsia="Arial" w:hAnsi="Arial" w:cs="Arial"/>
        </w:rPr>
        <w:t>GPT</w:t>
      </w:r>
      <w:proofErr w:type="spellEnd"/>
      <w:r>
        <w:rPr>
          <w:rFonts w:ascii="Arial" w:eastAsia="Arial" w:hAnsi="Arial" w:cs="Arial"/>
        </w:rPr>
        <w:t xml:space="preserve">, la experiencia fue más dinámica e interactiva. No solo proporcionaron traducciones aproximadas, sino que también permitieron a los estudiantes interactuar directamente con el modelo para aclarar dudas específicas relacionadas con partes puntuales del texto. En este sentido, si un fragmento del material generaba dificultad o ambigüedad, el estudiante pudo recurrir a solicitar explicaciones complementarias mediante paráfrasis, sinonimia, reformulación o ejemplos contextualizados, herramientas lingüísticas que facilitan la clarificación conceptual y enriquecen el proceso de comprensión. </w:t>
      </w:r>
      <w:r>
        <w:rPr>
          <w:rFonts w:ascii="Arial" w:eastAsia="Arial" w:hAnsi="Arial" w:cs="Arial"/>
        </w:rPr>
        <w:lastRenderedPageBreak/>
        <w:t xml:space="preserve">Consecuentemente se cree que este enfoque no es posible replicarlo con los traductores unidireccionales, los cuales, si bien resultan útiles para obtener una versión general del texto, no potencian la reflexión crítica ni la autonomía cognitiva del lector. Además, en términos de optimización del tiempo, el uso de modelos de lenguaje permite resolver dudas lingüísticas sin necesidad de recurrir a herramientas externas como diccionarios físicos, glosarios técnicos u otras fuentes complementarias. Si bien, no hay algo negativo en recurrir a fuentes externas, el uso de IA Generativa representa una ventaja significativa en entornos donde el tiempo de clase o de estudio individual es limitado, ya que permite al estudiante concentrarse en la revisión crítica del contenido y no en la búsqueda mecánica de definiciones. </w:t>
      </w:r>
    </w:p>
    <w:p w:rsidR="00A274A3" w:rsidRDefault="00D75FB3">
      <w:pPr>
        <w:pBdr>
          <w:top w:val="nil"/>
          <w:left w:val="nil"/>
          <w:bottom w:val="nil"/>
          <w:right w:val="nil"/>
          <w:between w:val="nil"/>
        </w:pBdr>
        <w:spacing w:after="0"/>
        <w:jc w:val="both"/>
        <w:rPr>
          <w:rFonts w:ascii="Arial" w:eastAsia="Arial" w:hAnsi="Arial" w:cs="Arial"/>
        </w:rPr>
      </w:pPr>
      <w:r>
        <w:rPr>
          <w:rFonts w:ascii="Arial" w:eastAsia="Arial" w:hAnsi="Arial" w:cs="Arial"/>
        </w:rPr>
        <w:t xml:space="preserve">En síntesis, la diferencia entre ambos enfoques no es meramente funcional, sino que responde a formas distintas de concebir la mediación tecnológica en la comprensión de textos técnico-científicos en inglés. Si bien hay una cierta ventaja en el uso de un modelo de IA al momento del abordaje del aprendizaje del inglés, autores como </w:t>
      </w:r>
      <w:proofErr w:type="spellStart"/>
      <w:r>
        <w:rPr>
          <w:rFonts w:ascii="Arial" w:eastAsia="Arial" w:hAnsi="Arial" w:cs="Arial"/>
        </w:rPr>
        <w:t>Kristiawan</w:t>
      </w:r>
      <w:proofErr w:type="spellEnd"/>
      <w:r>
        <w:rPr>
          <w:rFonts w:ascii="Arial" w:eastAsia="Arial" w:hAnsi="Arial" w:cs="Arial"/>
        </w:rPr>
        <w:t xml:space="preserve">, (2024), afirman que la dependencia excesiva y sin análisis reflexivo en el uso de la inteligencia artificial en la enseñanza y el aprendizaje del inglés representa un desafío considerable, con el riesgo de dejar de lado el pensamiento crítico de los estudiantes. Para los educadores, es esencial asegurar que las herramientas de IA sirvan como complemento y no como sustituto del desarrollo de estas habilidades cognitivas y sociales fundamentales. Por otra parte, los resultados del análisis también permitieron identificar ciertas desventajas asociadas a la implementación de herramientas de traducción digital y modelos de lenguaje en el contexto educativo de Catamarca. Una de las principales limitaciones detectadas se vincula con la falta de acceso equitativo a la tecnología. En contextos donde persisten desigualdades socioeconómicas y de conectividad, no todos los estudiantes disponen de los recursos técnicos necesarios —como dispositivos adecuados o conexión a internet estable— para aprovechar de manera efectiva este tipo de herramientas. Asimismo, una brecha en el conocimiento y manejo de tecnologías digitales, podría afectar negativamente el aprovechamiento de traductores automáticos y modelos de lenguaje generativo como </w:t>
      </w:r>
      <w:proofErr w:type="spellStart"/>
      <w:r>
        <w:rPr>
          <w:rFonts w:ascii="Arial" w:eastAsia="Arial" w:hAnsi="Arial" w:cs="Arial"/>
        </w:rPr>
        <w:t>ChatGPT</w:t>
      </w:r>
      <w:proofErr w:type="spellEnd"/>
      <w:r>
        <w:rPr>
          <w:rFonts w:ascii="Arial" w:eastAsia="Arial" w:hAnsi="Arial" w:cs="Arial"/>
        </w:rPr>
        <w:t>. Esta falta de competencias digitales básicas pone de manifiesto la necesidad de una alfabetización digital previa, que permita a los estudiantes no solo acceder a estas herramientas, sino también utilizarlas de manera crítica, estratégica y pedagógicamente relevante. Estas debilidades, por tanto, pueden condicionar la eficacia de la implementación tecnológica en la introducción de estos recursos en la enseñanza del in</w:t>
      </w:r>
      <w:r w:rsidR="002E38EA">
        <w:rPr>
          <w:rFonts w:ascii="Arial" w:eastAsia="Arial" w:hAnsi="Arial" w:cs="Arial"/>
        </w:rPr>
        <w:t xml:space="preserve">glés técnico. </w:t>
      </w:r>
      <w:r w:rsidR="002E38EA" w:rsidRPr="002E38EA">
        <w:rPr>
          <w:rFonts w:ascii="Arial" w:hAnsi="Arial" w:cs="Arial"/>
        </w:rPr>
        <w:t xml:space="preserve">Los resultados también sugieren que el uso del modelo de lenguaje generativo </w:t>
      </w:r>
      <w:proofErr w:type="spellStart"/>
      <w:r w:rsidR="002E38EA" w:rsidRPr="002E38EA">
        <w:rPr>
          <w:rFonts w:ascii="Arial" w:hAnsi="Arial" w:cs="Arial"/>
        </w:rPr>
        <w:t>ChatGPT</w:t>
      </w:r>
      <w:proofErr w:type="spellEnd"/>
      <w:r w:rsidR="002E38EA" w:rsidRPr="002E38EA">
        <w:rPr>
          <w:rFonts w:ascii="Arial" w:hAnsi="Arial" w:cs="Arial"/>
        </w:rPr>
        <w:t xml:space="preserve"> como herramienta de guía en la enseñanza del inglés técnico requiere un rol facilitador y orientador del docente</w:t>
      </w:r>
      <w:r w:rsidR="002E38EA">
        <w:t xml:space="preserve"> </w:t>
      </w:r>
      <w:r>
        <w:rPr>
          <w:rFonts w:ascii="Arial" w:eastAsia="Arial" w:hAnsi="Arial" w:cs="Arial"/>
        </w:rPr>
        <w:t xml:space="preserve">en la construcción de un pensamiento crítico y reflexivo, que combine enfoques tradicionales con la mediación tecnológica. El docente no solo debe transmitir conocimientos lingüísticos fundamentales para la interpretación de textos, sino también fomentar el pensamiento analítico, ayudando al estudiante a detectar posibles desviaciones del sentido original producidas por los modelos. </w:t>
      </w:r>
    </w:p>
    <w:p w:rsidR="00A274A3" w:rsidRDefault="00D75FB3">
      <w:pPr>
        <w:pBdr>
          <w:top w:val="nil"/>
          <w:left w:val="nil"/>
          <w:bottom w:val="nil"/>
          <w:right w:val="nil"/>
          <w:between w:val="nil"/>
        </w:pBdr>
        <w:spacing w:after="0"/>
        <w:rPr>
          <w:rFonts w:ascii="Arial" w:eastAsia="Arial" w:hAnsi="Arial" w:cs="Arial"/>
          <w:b/>
        </w:rPr>
      </w:pPr>
      <w:r>
        <w:rPr>
          <w:rFonts w:ascii="Arial" w:eastAsia="Arial" w:hAnsi="Arial" w:cs="Arial"/>
          <w:b/>
          <w:color w:val="000000"/>
        </w:rPr>
        <w:t>CONCLUSIONES</w:t>
      </w:r>
    </w:p>
    <w:p w:rsidR="00A274A3" w:rsidRDefault="00D75FB3">
      <w:pPr>
        <w:pBdr>
          <w:top w:val="nil"/>
          <w:left w:val="nil"/>
          <w:bottom w:val="nil"/>
          <w:right w:val="nil"/>
          <w:between w:val="nil"/>
        </w:pBdr>
        <w:spacing w:after="0"/>
        <w:jc w:val="both"/>
        <w:rPr>
          <w:rFonts w:ascii="Arial" w:eastAsia="Arial" w:hAnsi="Arial" w:cs="Arial"/>
        </w:rPr>
      </w:pPr>
      <w:r>
        <w:rPr>
          <w:rFonts w:ascii="Arial" w:eastAsia="Arial" w:hAnsi="Arial" w:cs="Arial"/>
        </w:rPr>
        <w:t xml:space="preserve">Los resultados obtenidos permiten concluir que el uso de las HDT en la enseñanza del inglés técnico presenta numerosas ventajas, siempre que su implementación se acompañe de estrategias pedagógicas adecuadas. Entre los beneficios más destacados se encuentra la posibilidad de </w:t>
      </w:r>
      <w:proofErr w:type="spellStart"/>
      <w:r>
        <w:rPr>
          <w:rFonts w:ascii="Arial" w:eastAsia="Arial" w:hAnsi="Arial" w:cs="Arial"/>
          <w:i/>
        </w:rPr>
        <w:t>feedback</w:t>
      </w:r>
      <w:proofErr w:type="spellEnd"/>
      <w:r>
        <w:rPr>
          <w:rFonts w:ascii="Arial" w:eastAsia="Arial" w:hAnsi="Arial" w:cs="Arial"/>
          <w:i/>
        </w:rPr>
        <w:t xml:space="preserve"> </w:t>
      </w:r>
      <w:r>
        <w:rPr>
          <w:rFonts w:ascii="Arial" w:eastAsia="Arial" w:hAnsi="Arial" w:cs="Arial"/>
        </w:rPr>
        <w:t xml:space="preserve">inmediato que ofrecen algunas </w:t>
      </w:r>
      <w:r w:rsidR="00354F5B">
        <w:rPr>
          <w:rFonts w:ascii="Arial" w:eastAsia="Arial" w:hAnsi="Arial" w:cs="Arial"/>
        </w:rPr>
        <w:t xml:space="preserve">de estas herramientas como </w:t>
      </w:r>
      <w:proofErr w:type="spellStart"/>
      <w:r w:rsidR="00354F5B">
        <w:rPr>
          <w:rFonts w:ascii="Arial" w:eastAsia="Arial" w:hAnsi="Arial" w:cs="Arial"/>
        </w:rPr>
        <w:t>Chat</w:t>
      </w:r>
      <w:r>
        <w:rPr>
          <w:rFonts w:ascii="Arial" w:eastAsia="Arial" w:hAnsi="Arial" w:cs="Arial"/>
        </w:rPr>
        <w:t>GPT</w:t>
      </w:r>
      <w:proofErr w:type="spellEnd"/>
      <w:r>
        <w:rPr>
          <w:rFonts w:ascii="Arial" w:eastAsia="Arial" w:hAnsi="Arial" w:cs="Arial"/>
        </w:rPr>
        <w:t xml:space="preserve">; lo que permite a los estudiantes profundizar en terminología específica o variaciones regionales del vocabulario empleado en los distintos corpus textuales. Esto, a su vez, se traduce en un manejo más eficiente del tiempo de clase, permitiendo, por ejemplo, abarcar una mayor cantidad de contenidos </w:t>
      </w:r>
      <w:r>
        <w:rPr>
          <w:rFonts w:ascii="Arial" w:eastAsia="Arial" w:hAnsi="Arial" w:cs="Arial"/>
        </w:rPr>
        <w:lastRenderedPageBreak/>
        <w:t xml:space="preserve">de la </w:t>
      </w:r>
      <w:proofErr w:type="spellStart"/>
      <w:r>
        <w:rPr>
          <w:rFonts w:ascii="Arial" w:eastAsia="Arial" w:hAnsi="Arial" w:cs="Arial"/>
        </w:rPr>
        <w:t>currícula</w:t>
      </w:r>
      <w:proofErr w:type="spellEnd"/>
      <w:r>
        <w:rPr>
          <w:rFonts w:ascii="Arial" w:eastAsia="Arial" w:hAnsi="Arial" w:cs="Arial"/>
        </w:rPr>
        <w:t xml:space="preserve">. Si bien no se cuentan con mediciones específicas, se estima que el empleo de estas herramientas digitales puede incrementar la motivación del estudio, en cuanto </w:t>
      </w:r>
      <w:r w:rsidR="00354F5B">
        <w:rPr>
          <w:rFonts w:ascii="Arial" w:eastAsia="Arial" w:hAnsi="Arial" w:cs="Arial"/>
        </w:rPr>
        <w:t xml:space="preserve">a que </w:t>
      </w:r>
      <w:r>
        <w:rPr>
          <w:rFonts w:ascii="Arial" w:eastAsia="Arial" w:hAnsi="Arial" w:cs="Arial"/>
        </w:rPr>
        <w:t>los estudiantes parecen demostrar mayor interés en las clases gracias a la utilización de estas herramientas ya conocidas y empleadas por ellos en su vida cotidiana. En cuanto a las desventajas en el uso de las herramientas analizadas en este trabajo</w:t>
      </w:r>
      <w:r w:rsidR="00354F5B">
        <w:rPr>
          <w:rFonts w:ascii="Arial" w:eastAsia="Arial" w:hAnsi="Arial" w:cs="Arial"/>
        </w:rPr>
        <w:t xml:space="preserve">, se puede resaltar el hecho de que </w:t>
      </w:r>
      <w:r>
        <w:rPr>
          <w:rFonts w:ascii="Arial" w:eastAsia="Arial" w:hAnsi="Arial" w:cs="Arial"/>
        </w:rPr>
        <w:t xml:space="preserve">los estudiantes </w:t>
      </w:r>
      <w:r w:rsidR="00354F5B">
        <w:rPr>
          <w:rFonts w:ascii="Arial" w:eastAsia="Arial" w:hAnsi="Arial" w:cs="Arial"/>
        </w:rPr>
        <w:t xml:space="preserve">tengan una </w:t>
      </w:r>
      <w:proofErr w:type="spellStart"/>
      <w:r w:rsidR="00354F5B">
        <w:rPr>
          <w:rFonts w:ascii="Arial" w:eastAsia="Arial" w:hAnsi="Arial" w:cs="Arial"/>
        </w:rPr>
        <w:t>sobredependencia</w:t>
      </w:r>
      <w:proofErr w:type="spellEnd"/>
      <w:r>
        <w:rPr>
          <w:rFonts w:ascii="Arial" w:eastAsia="Arial" w:hAnsi="Arial" w:cs="Arial"/>
        </w:rPr>
        <w:t xml:space="preserve"> de las producciones arrojadas por estas, lo que puede afectar negativamente el desarrollo de competencias autónomas y el pensamiento crítico si no se acompaña con instancias reflexivas. Asimismo, se señala que muchas de las limitaciones actuales tienen que ver con el acceso desigual a estas tecnologías, especialmente en el contexto de esta investigación. En cuanto al rol del docente, y particularmente en el caso de los especialistas en la enseñanza de idiomas, puede resultar preocupante el avance agigantado de las nuevas tecnologías en un ámbito académico y tradicionalista. Sin embargo, es posible afirmar que el rol del docente cobra una nueva centralidad. Su tarea no solo implica la transmisión de conocimientos lingüísticos básicos, sino también la mediación pedagógica frente al uso de tecnologías emergentes. El educador necesita actualizarse en el uso de estas herramientas y, al mismo tiempo, guiar a los estudiantes en la aplicación crítica, ética y estratégica de las mismas. En pos de actualizar las prácticas de enseñanza de la cátedra de Inglés Técnico de la TUPA en la Facultad de Ciencias Agrarias, se prevé realizar una nueva selección de herramientas digitales a la vez que se aplican nuevas estrategias basadas en los resultados de esta investigación. Esto se deberá llevar a cabo durante el segundo cuatrimestre del presente ciclo lectivo. Asimismo, se proyecta realizar encuestas a los estudiantes participantes en donde se indague sobre su experiencia con las herramientas digitales utilizadas, a la vez que propongan sugerencias sobre el dictado de la asignatura.  </w:t>
      </w:r>
    </w:p>
    <w:p w:rsidR="00A274A3" w:rsidRPr="00532FD3" w:rsidRDefault="00D75FB3">
      <w:pPr>
        <w:pBdr>
          <w:top w:val="nil"/>
          <w:left w:val="nil"/>
          <w:bottom w:val="nil"/>
          <w:right w:val="nil"/>
          <w:between w:val="nil"/>
        </w:pBdr>
        <w:spacing w:after="0"/>
        <w:jc w:val="both"/>
        <w:rPr>
          <w:rFonts w:ascii="Arial" w:eastAsia="Arial" w:hAnsi="Arial" w:cs="Arial"/>
          <w:b/>
          <w:color w:val="000000"/>
          <w:lang w:val="en-US"/>
        </w:rPr>
      </w:pPr>
      <w:r w:rsidRPr="00532FD3">
        <w:rPr>
          <w:rFonts w:ascii="Arial" w:eastAsia="Arial" w:hAnsi="Arial" w:cs="Arial"/>
          <w:b/>
          <w:color w:val="000000"/>
          <w:lang w:val="en-US"/>
        </w:rPr>
        <w:t>REFERENCIAS BIBLIOGRÁFICAS</w:t>
      </w:r>
    </w:p>
    <w:p w:rsidR="00A274A3" w:rsidRPr="00532FD3" w:rsidRDefault="00D75FB3" w:rsidP="00461C7D">
      <w:pPr>
        <w:pBdr>
          <w:top w:val="nil"/>
          <w:left w:val="nil"/>
          <w:bottom w:val="nil"/>
          <w:right w:val="nil"/>
          <w:between w:val="nil"/>
        </w:pBdr>
        <w:spacing w:after="60"/>
        <w:ind w:firstLine="142"/>
        <w:rPr>
          <w:rFonts w:ascii="Arial" w:eastAsia="Arial" w:hAnsi="Arial" w:cs="Arial"/>
          <w:color w:val="000000"/>
          <w:sz w:val="20"/>
          <w:szCs w:val="20"/>
          <w:lang w:val="en-US"/>
        </w:rPr>
      </w:pPr>
      <w:r w:rsidRPr="00532FD3">
        <w:rPr>
          <w:rFonts w:ascii="Arial" w:eastAsia="Arial" w:hAnsi="Arial" w:cs="Arial"/>
          <w:color w:val="000000"/>
          <w:sz w:val="20"/>
          <w:szCs w:val="20"/>
          <w:lang w:val="en-US"/>
        </w:rPr>
        <w:t xml:space="preserve"> [1] Klimova, B. (2025). </w:t>
      </w:r>
      <w:proofErr w:type="gramStart"/>
      <w:r w:rsidRPr="00532FD3">
        <w:rPr>
          <w:rFonts w:ascii="Arial" w:eastAsia="Arial" w:hAnsi="Arial" w:cs="Arial"/>
          <w:i/>
          <w:color w:val="000000"/>
          <w:sz w:val="20"/>
          <w:szCs w:val="20"/>
          <w:lang w:val="en-US"/>
        </w:rPr>
        <w:t>Use of machine translation in foreign language education</w:t>
      </w:r>
      <w:r w:rsidRPr="00532FD3">
        <w:rPr>
          <w:rFonts w:ascii="Arial" w:eastAsia="Arial" w:hAnsi="Arial" w:cs="Arial"/>
          <w:color w:val="000000"/>
          <w:sz w:val="20"/>
          <w:szCs w:val="20"/>
          <w:lang w:val="en-US"/>
        </w:rPr>
        <w:t>.</w:t>
      </w:r>
      <w:proofErr w:type="gramEnd"/>
      <w:r w:rsidRPr="00532FD3">
        <w:rPr>
          <w:rFonts w:ascii="Arial" w:eastAsia="Arial" w:hAnsi="Arial" w:cs="Arial"/>
          <w:color w:val="000000"/>
          <w:sz w:val="20"/>
          <w:szCs w:val="20"/>
          <w:lang w:val="en-US"/>
        </w:rPr>
        <w:t xml:space="preserve"> </w:t>
      </w:r>
      <w:r w:rsidRPr="00532FD3">
        <w:rPr>
          <w:rFonts w:ascii="Arial" w:eastAsia="Arial" w:hAnsi="Arial" w:cs="Arial"/>
          <w:i/>
          <w:color w:val="000000"/>
          <w:sz w:val="20"/>
          <w:szCs w:val="20"/>
          <w:lang w:val="en-US"/>
        </w:rPr>
        <w:t>Cogent Arts &amp; Humanities, 12</w:t>
      </w:r>
      <w:r w:rsidRPr="00532FD3">
        <w:rPr>
          <w:rFonts w:ascii="Arial" w:eastAsia="Arial" w:hAnsi="Arial" w:cs="Arial"/>
          <w:color w:val="000000"/>
          <w:sz w:val="20"/>
          <w:szCs w:val="20"/>
          <w:lang w:val="en-US"/>
        </w:rPr>
        <w:t xml:space="preserve">(1), Article 2491183. </w:t>
      </w:r>
      <w:hyperlink r:id="rId9">
        <w:r w:rsidRPr="00532FD3">
          <w:rPr>
            <w:rFonts w:ascii="Arial" w:eastAsia="Arial" w:hAnsi="Arial" w:cs="Arial"/>
            <w:color w:val="0000FF"/>
            <w:sz w:val="20"/>
            <w:szCs w:val="20"/>
            <w:u w:val="single"/>
            <w:lang w:val="en-US"/>
          </w:rPr>
          <w:t>https://doi.org/10.1080/23311983.2025.2491183</w:t>
        </w:r>
      </w:hyperlink>
      <w:r w:rsidRPr="00532FD3">
        <w:rPr>
          <w:rFonts w:ascii="Arial" w:eastAsia="Arial" w:hAnsi="Arial" w:cs="Arial"/>
          <w:color w:val="000000"/>
          <w:sz w:val="20"/>
          <w:szCs w:val="20"/>
          <w:lang w:val="en-US"/>
        </w:rPr>
        <w:t>.</w:t>
      </w:r>
    </w:p>
    <w:p w:rsidR="00A274A3" w:rsidRPr="00B53893" w:rsidRDefault="00D75FB3" w:rsidP="00461C7D">
      <w:pPr>
        <w:spacing w:after="60"/>
        <w:ind w:firstLine="142"/>
        <w:rPr>
          <w:rFonts w:ascii="Arial" w:eastAsia="Arial" w:hAnsi="Arial" w:cs="Arial"/>
          <w:color w:val="1155CC"/>
          <w:sz w:val="20"/>
          <w:szCs w:val="20"/>
          <w:u w:val="single"/>
          <w:lang w:val="en-US"/>
        </w:rPr>
      </w:pPr>
      <w:r w:rsidRPr="00532FD3">
        <w:rPr>
          <w:rFonts w:ascii="Arial" w:eastAsia="Arial" w:hAnsi="Arial" w:cs="Arial"/>
          <w:sz w:val="20"/>
          <w:szCs w:val="20"/>
          <w:lang w:val="en-US"/>
        </w:rPr>
        <w:t xml:space="preserve"> [2] Kristiawan, D. Y., Bashar, K., &amp; Pradana, D. A. (2024). Artificial Intelligence in English Language Learning: A Systematic Review of AI Tools, Applications, and Pedagogical Outcomes. </w:t>
      </w:r>
      <w:proofErr w:type="gramStart"/>
      <w:r w:rsidRPr="00532FD3">
        <w:rPr>
          <w:rFonts w:ascii="Arial" w:eastAsia="Arial" w:hAnsi="Arial" w:cs="Arial"/>
          <w:i/>
          <w:sz w:val="20"/>
          <w:szCs w:val="20"/>
          <w:lang w:val="en-US"/>
        </w:rPr>
        <w:t>The Art of Teaching English as a Foreign Language (TATEFL)</w:t>
      </w:r>
      <w:r w:rsidRPr="00532FD3">
        <w:rPr>
          <w:rFonts w:ascii="Arial" w:eastAsia="Arial" w:hAnsi="Arial" w:cs="Arial"/>
          <w:sz w:val="20"/>
          <w:szCs w:val="20"/>
          <w:lang w:val="en-US"/>
        </w:rPr>
        <w:t xml:space="preserve">, </w:t>
      </w:r>
      <w:r w:rsidRPr="00532FD3">
        <w:rPr>
          <w:rFonts w:ascii="Arial" w:eastAsia="Arial" w:hAnsi="Arial" w:cs="Arial"/>
          <w:i/>
          <w:sz w:val="20"/>
          <w:szCs w:val="20"/>
          <w:lang w:val="en-US"/>
        </w:rPr>
        <w:t>5</w:t>
      </w:r>
      <w:r w:rsidRPr="00532FD3">
        <w:rPr>
          <w:rFonts w:ascii="Arial" w:eastAsia="Arial" w:hAnsi="Arial" w:cs="Arial"/>
          <w:sz w:val="20"/>
          <w:szCs w:val="20"/>
          <w:lang w:val="en-US"/>
        </w:rPr>
        <w:t>(2), 207-218.</w:t>
      </w:r>
      <w:proofErr w:type="gramEnd"/>
      <w:r w:rsidR="00543F47">
        <w:fldChar w:fldCharType="begin"/>
      </w:r>
      <w:r w:rsidR="00543F47" w:rsidRPr="00B53893">
        <w:rPr>
          <w:lang w:val="en-US"/>
        </w:rPr>
        <w:instrText xml:space="preserve"> HYPERLINK "https://doi.org/10.36663/tatefl.v5i2.912" \h </w:instrText>
      </w:r>
      <w:r w:rsidR="00543F47">
        <w:fldChar w:fldCharType="separate"/>
      </w:r>
      <w:r w:rsidRPr="00532FD3">
        <w:rPr>
          <w:rFonts w:ascii="Arial" w:eastAsia="Arial" w:hAnsi="Arial" w:cs="Arial"/>
          <w:sz w:val="20"/>
          <w:szCs w:val="20"/>
          <w:lang w:val="en-US"/>
        </w:rPr>
        <w:t xml:space="preserve"> </w:t>
      </w:r>
      <w:r w:rsidR="00543F47">
        <w:rPr>
          <w:rFonts w:ascii="Arial" w:eastAsia="Arial" w:hAnsi="Arial" w:cs="Arial"/>
          <w:sz w:val="20"/>
          <w:szCs w:val="20"/>
          <w:lang w:val="en-US"/>
        </w:rPr>
        <w:fldChar w:fldCharType="end"/>
      </w:r>
      <w:r w:rsidR="00543F47">
        <w:fldChar w:fldCharType="begin"/>
      </w:r>
      <w:r w:rsidR="00543F47" w:rsidRPr="00B53893">
        <w:rPr>
          <w:lang w:val="en-US"/>
        </w:rPr>
        <w:instrText xml:space="preserve"> HYPERLINK "https://doi.org/10.36663/tatefl.v5i2.912" \h </w:instrText>
      </w:r>
      <w:r w:rsidR="00543F47">
        <w:fldChar w:fldCharType="separate"/>
      </w:r>
      <w:r w:rsidRPr="00B53893">
        <w:rPr>
          <w:rFonts w:ascii="Arial" w:eastAsia="Arial" w:hAnsi="Arial" w:cs="Arial"/>
          <w:color w:val="1155CC"/>
          <w:sz w:val="20"/>
          <w:szCs w:val="20"/>
          <w:lang w:val="en-US"/>
        </w:rPr>
        <w:t>https://doi.org/10.36663/tatefl.v5i2.912</w:t>
      </w:r>
      <w:r w:rsidR="00543F47">
        <w:rPr>
          <w:rFonts w:ascii="Arial" w:eastAsia="Arial" w:hAnsi="Arial" w:cs="Arial"/>
          <w:color w:val="1155CC"/>
          <w:sz w:val="20"/>
          <w:szCs w:val="20"/>
        </w:rPr>
        <w:fldChar w:fldCharType="end"/>
      </w:r>
      <w:r w:rsidR="00543F47">
        <w:fldChar w:fldCharType="begin"/>
      </w:r>
      <w:r w:rsidR="00543F47" w:rsidRPr="00B53893">
        <w:rPr>
          <w:lang w:val="en-US"/>
        </w:rPr>
        <w:instrText xml:space="preserve"> HYPERLINK "https://doi.org/10.36663/tatefl.v5i2.912" \h </w:instrText>
      </w:r>
      <w:r w:rsidR="00543F47">
        <w:fldChar w:fldCharType="separate"/>
      </w:r>
      <w:r w:rsidRPr="00B53893">
        <w:rPr>
          <w:rFonts w:ascii="Arial" w:eastAsia="Arial" w:hAnsi="Arial" w:cs="Arial"/>
          <w:sz w:val="20"/>
          <w:szCs w:val="20"/>
          <w:lang w:val="en-US"/>
        </w:rPr>
        <w:t xml:space="preserve"> </w:t>
      </w:r>
      <w:r w:rsidR="00543F47">
        <w:rPr>
          <w:rFonts w:ascii="Arial" w:eastAsia="Arial" w:hAnsi="Arial" w:cs="Arial"/>
          <w:sz w:val="20"/>
          <w:szCs w:val="20"/>
        </w:rPr>
        <w:fldChar w:fldCharType="end"/>
      </w:r>
      <w:r w:rsidR="009158EB" w:rsidRPr="00B53893">
        <w:rPr>
          <w:rFonts w:ascii="Arial" w:eastAsia="Arial" w:hAnsi="Arial" w:cs="Arial"/>
          <w:color w:val="1155CC"/>
          <w:sz w:val="20"/>
          <w:szCs w:val="20"/>
          <w:u w:val="single"/>
          <w:lang w:val="en-US"/>
        </w:rPr>
        <w:t xml:space="preserve"> </w:t>
      </w:r>
    </w:p>
    <w:p w:rsidR="00A274A3" w:rsidRDefault="00D75FB3" w:rsidP="00461C7D">
      <w:pPr>
        <w:spacing w:after="60"/>
        <w:ind w:firstLine="142"/>
        <w:jc w:val="both"/>
        <w:rPr>
          <w:rFonts w:ascii="Arial" w:eastAsia="Arial" w:hAnsi="Arial" w:cs="Arial"/>
          <w:color w:val="1155CC"/>
          <w:sz w:val="20"/>
          <w:szCs w:val="20"/>
          <w:u w:val="single"/>
        </w:rPr>
      </w:pPr>
      <w:r w:rsidRPr="00532FD3">
        <w:rPr>
          <w:rFonts w:ascii="Arial" w:eastAsia="Arial" w:hAnsi="Arial" w:cs="Arial"/>
          <w:sz w:val="20"/>
          <w:szCs w:val="20"/>
          <w:lang w:val="en-US"/>
        </w:rPr>
        <w:t xml:space="preserve">[3] Zhai, C., Wibowo, S., &amp; Li, L. D. (2024). The effects of over-reliance on AI dialogue systems on students’ cognitive abilities: a systematic review. </w:t>
      </w:r>
      <w:r>
        <w:rPr>
          <w:rFonts w:ascii="Arial" w:eastAsia="Arial" w:hAnsi="Arial" w:cs="Arial"/>
          <w:i/>
          <w:sz w:val="20"/>
          <w:szCs w:val="20"/>
        </w:rPr>
        <w:t xml:space="preserve">Smart </w:t>
      </w:r>
      <w:proofErr w:type="spellStart"/>
      <w:r>
        <w:rPr>
          <w:rFonts w:ascii="Arial" w:eastAsia="Arial" w:hAnsi="Arial" w:cs="Arial"/>
          <w:i/>
          <w:sz w:val="20"/>
          <w:szCs w:val="20"/>
        </w:rPr>
        <w:t>Learning</w:t>
      </w:r>
      <w:proofErr w:type="spellEnd"/>
      <w:r>
        <w:rPr>
          <w:rFonts w:ascii="Arial" w:eastAsia="Arial" w:hAnsi="Arial" w:cs="Arial"/>
          <w:i/>
          <w:sz w:val="20"/>
          <w:szCs w:val="20"/>
        </w:rPr>
        <w:t xml:space="preserve"> </w:t>
      </w:r>
      <w:proofErr w:type="spellStart"/>
      <w:r>
        <w:rPr>
          <w:rFonts w:ascii="Arial" w:eastAsia="Arial" w:hAnsi="Arial" w:cs="Arial"/>
          <w:i/>
          <w:sz w:val="20"/>
          <w:szCs w:val="20"/>
        </w:rPr>
        <w:t>Environments</w:t>
      </w:r>
      <w:proofErr w:type="spellEnd"/>
      <w:r>
        <w:rPr>
          <w:rFonts w:ascii="Arial" w:eastAsia="Arial" w:hAnsi="Arial" w:cs="Arial"/>
          <w:sz w:val="20"/>
          <w:szCs w:val="20"/>
        </w:rPr>
        <w:t xml:space="preserve">, </w:t>
      </w:r>
      <w:r>
        <w:rPr>
          <w:rFonts w:ascii="Arial" w:eastAsia="Arial" w:hAnsi="Arial" w:cs="Arial"/>
          <w:i/>
          <w:sz w:val="20"/>
          <w:szCs w:val="20"/>
        </w:rPr>
        <w:t>11</w:t>
      </w:r>
      <w:r>
        <w:rPr>
          <w:rFonts w:ascii="Arial" w:eastAsia="Arial" w:hAnsi="Arial" w:cs="Arial"/>
          <w:sz w:val="20"/>
          <w:szCs w:val="20"/>
        </w:rPr>
        <w:t>(1), 28.</w:t>
      </w:r>
      <w:hyperlink r:id="rId10">
        <w:r>
          <w:rPr>
            <w:rFonts w:ascii="Arial" w:eastAsia="Arial" w:hAnsi="Arial" w:cs="Arial"/>
            <w:sz w:val="20"/>
            <w:szCs w:val="20"/>
          </w:rPr>
          <w:t xml:space="preserve"> </w:t>
        </w:r>
      </w:hyperlink>
      <w:hyperlink r:id="rId11">
        <w:r>
          <w:rPr>
            <w:rFonts w:ascii="Arial" w:eastAsia="Arial" w:hAnsi="Arial" w:cs="Arial"/>
            <w:color w:val="1155CC"/>
            <w:sz w:val="20"/>
            <w:szCs w:val="20"/>
            <w:u w:val="single"/>
          </w:rPr>
          <w:t>https://doi.org/10.1186/s40561-024-00316-7</w:t>
        </w:r>
      </w:hyperlink>
    </w:p>
    <w:p w:rsidR="00A274A3" w:rsidRDefault="00A274A3" w:rsidP="00461C7D">
      <w:pPr>
        <w:pBdr>
          <w:top w:val="nil"/>
          <w:left w:val="nil"/>
          <w:bottom w:val="nil"/>
          <w:right w:val="nil"/>
          <w:between w:val="nil"/>
        </w:pBdr>
        <w:spacing w:after="60"/>
        <w:ind w:left="454" w:hanging="454"/>
        <w:rPr>
          <w:rFonts w:ascii="Arial" w:eastAsia="Arial" w:hAnsi="Arial" w:cs="Arial"/>
          <w:sz w:val="20"/>
          <w:szCs w:val="20"/>
        </w:rPr>
      </w:pPr>
    </w:p>
    <w:p w:rsidR="00A274A3" w:rsidRDefault="00A274A3" w:rsidP="00461C7D">
      <w:pPr>
        <w:pBdr>
          <w:top w:val="nil"/>
          <w:left w:val="nil"/>
          <w:bottom w:val="nil"/>
          <w:right w:val="nil"/>
          <w:between w:val="nil"/>
        </w:pBdr>
        <w:spacing w:after="60"/>
        <w:ind w:left="454" w:hanging="454"/>
        <w:rPr>
          <w:rFonts w:ascii="Arial" w:eastAsia="Arial" w:hAnsi="Arial" w:cs="Arial"/>
          <w:sz w:val="20"/>
          <w:szCs w:val="20"/>
        </w:rPr>
      </w:pPr>
    </w:p>
    <w:p w:rsidR="00A274A3" w:rsidRDefault="00A274A3" w:rsidP="00461C7D">
      <w:pPr>
        <w:pBdr>
          <w:top w:val="nil"/>
          <w:left w:val="nil"/>
          <w:bottom w:val="nil"/>
          <w:right w:val="nil"/>
          <w:between w:val="nil"/>
        </w:pBdr>
        <w:spacing w:after="60"/>
        <w:ind w:left="454" w:hanging="454"/>
        <w:rPr>
          <w:rFonts w:ascii="Arial" w:eastAsia="Arial" w:hAnsi="Arial" w:cs="Arial"/>
          <w:sz w:val="20"/>
          <w:szCs w:val="20"/>
        </w:rPr>
      </w:pPr>
    </w:p>
    <w:p w:rsidR="00A274A3" w:rsidRDefault="00A274A3" w:rsidP="00461C7D">
      <w:pPr>
        <w:pBdr>
          <w:top w:val="nil"/>
          <w:left w:val="nil"/>
          <w:bottom w:val="nil"/>
          <w:right w:val="nil"/>
          <w:between w:val="nil"/>
        </w:pBdr>
        <w:spacing w:after="60"/>
        <w:ind w:left="454" w:hanging="454"/>
        <w:rPr>
          <w:rFonts w:ascii="Arial" w:eastAsia="Arial" w:hAnsi="Arial" w:cs="Arial"/>
          <w:color w:val="000000"/>
          <w:sz w:val="20"/>
          <w:szCs w:val="20"/>
        </w:rPr>
      </w:pPr>
    </w:p>
    <w:sectPr w:rsidR="00A274A3">
      <w:headerReference w:type="even" r:id="rId12"/>
      <w:headerReference w:type="default" r:id="rId13"/>
      <w:footerReference w:type="even" r:id="rId14"/>
      <w:footerReference w:type="default" r:id="rId15"/>
      <w:headerReference w:type="first" r:id="rId16"/>
      <w:footerReference w:type="first" r:id="rId17"/>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F47" w:rsidRDefault="00543F47">
      <w:pPr>
        <w:spacing w:after="0"/>
      </w:pPr>
      <w:r>
        <w:separator/>
      </w:r>
    </w:p>
  </w:endnote>
  <w:endnote w:type="continuationSeparator" w:id="0">
    <w:p w:rsidR="00543F47" w:rsidRDefault="00543F4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oppins">
    <w:altName w:val="Times New Roman"/>
    <w:charset w:val="00"/>
    <w:family w:val="auto"/>
    <w:pitch w:val="variable"/>
    <w:sig w:usb0="00000001" w:usb1="00000000" w:usb2="00000000" w:usb3="00000000" w:csb0="00000093" w:csb1="00000000"/>
  </w:font>
  <w:font w:name="Poppins ExtraBold">
    <w:altName w:val="Times New Roman"/>
    <w:charset w:val="00"/>
    <w:family w:val="auto"/>
    <w:pitch w:val="variable"/>
    <w:sig w:usb0="00000001" w:usb1="00000000" w:usb2="00000000" w:usb3="00000000" w:csb0="00000093" w:csb1="00000000"/>
  </w:font>
  <w:font w:name="Times New Roman">
    <w:panose1 w:val="02020603050405020304"/>
    <w:charset w:val="00"/>
    <w:family w:val="roman"/>
    <w:pitch w:val="variable"/>
    <w:sig w:usb0="E0002AFF" w:usb1="C0007841" w:usb2="00000009" w:usb3="00000000" w:csb0="000001FF" w:csb1="00000000"/>
  </w:font>
  <w:font w:name="Poppins Medium">
    <w:altName w:val="Times New Roman"/>
    <w:charset w:val="00"/>
    <w:family w:val="auto"/>
    <w:pitch w:val="variable"/>
    <w:sig w:usb0="00000001"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A3" w:rsidRDefault="00A274A3">
    <w:pPr>
      <w:pBdr>
        <w:top w:val="nil"/>
        <w:left w:val="nil"/>
        <w:bottom w:val="nil"/>
        <w:right w:val="nil"/>
        <w:between w:val="nil"/>
      </w:pBdr>
      <w:tabs>
        <w:tab w:val="center" w:pos="4419"/>
        <w:tab w:val="right" w:pos="8838"/>
      </w:tabs>
      <w:spacing w:after="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A3" w:rsidRDefault="00D75FB3">
    <w:pPr>
      <w:pBdr>
        <w:top w:val="nil"/>
        <w:left w:val="nil"/>
        <w:bottom w:val="nil"/>
        <w:right w:val="nil"/>
        <w:between w:val="nil"/>
      </w:pBdr>
      <w:tabs>
        <w:tab w:val="center" w:pos="4419"/>
        <w:tab w:val="right" w:pos="8838"/>
      </w:tabs>
      <w:spacing w:after="0"/>
      <w:ind w:right="-285"/>
      <w:jc w:val="right"/>
      <w:rPr>
        <w:color w:val="000000"/>
      </w:rPr>
    </w:pPr>
    <w:r>
      <w:rPr>
        <w:color w:val="000000"/>
        <w:highlight w:val="white"/>
      </w:rPr>
      <w:t xml:space="preserve">   Requisitos para el Trabajo extendido </w:t>
    </w:r>
    <w:r>
      <w:rPr>
        <w:color w:val="000000"/>
      </w:rPr>
      <w:t>-</w:t>
    </w:r>
    <w:r>
      <w:rPr>
        <w:b/>
        <w:color w:val="000000"/>
      </w:rPr>
      <w:t xml:space="preserve"> </w:t>
    </w:r>
    <w:r>
      <w:rPr>
        <w:b/>
        <w:color w:val="000000"/>
      </w:rPr>
      <w:fldChar w:fldCharType="begin"/>
    </w:r>
    <w:r>
      <w:rPr>
        <w:b/>
        <w:color w:val="000000"/>
      </w:rPr>
      <w:instrText>PAGE</w:instrText>
    </w:r>
    <w:r>
      <w:rPr>
        <w:b/>
        <w:color w:val="000000"/>
      </w:rPr>
      <w:fldChar w:fldCharType="separate"/>
    </w:r>
    <w:r w:rsidR="00B53893">
      <w:rPr>
        <w:b/>
        <w:noProof/>
        <w:color w:val="000000"/>
      </w:rPr>
      <w:t>2</w:t>
    </w:r>
    <w:r>
      <w:rPr>
        <w:b/>
        <w:color w:val="000000"/>
      </w:rPr>
      <w:fldChar w:fldCharType="end"/>
    </w:r>
    <w:r>
      <w:rPr>
        <w:noProof/>
      </w:rPr>
      <w:drawing>
        <wp:anchor distT="0" distB="0" distL="0" distR="0" simplePos="0" relativeHeight="251659264" behindDoc="1" locked="0" layoutInCell="1" hidden="0" allowOverlap="1">
          <wp:simplePos x="0" y="0"/>
          <wp:positionH relativeFrom="column">
            <wp:posOffset>-165731</wp:posOffset>
          </wp:positionH>
          <wp:positionV relativeFrom="paragraph">
            <wp:posOffset>45085</wp:posOffset>
          </wp:positionV>
          <wp:extent cx="5534025" cy="140335"/>
          <wp:effectExtent l="0" t="0" r="0" b="0"/>
          <wp:wrapNone/>
          <wp:docPr id="2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A3" w:rsidRDefault="00A274A3">
    <w:pPr>
      <w:pBdr>
        <w:top w:val="nil"/>
        <w:left w:val="nil"/>
        <w:bottom w:val="nil"/>
        <w:right w:val="nil"/>
        <w:between w:val="nil"/>
      </w:pBdr>
      <w:tabs>
        <w:tab w:val="center" w:pos="4419"/>
        <w:tab w:val="right" w:pos="8838"/>
      </w:tabs>
      <w:spacing w:after="0"/>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F47" w:rsidRDefault="00543F47">
      <w:pPr>
        <w:spacing w:after="0"/>
      </w:pPr>
      <w:r>
        <w:separator/>
      </w:r>
    </w:p>
  </w:footnote>
  <w:footnote w:type="continuationSeparator" w:id="0">
    <w:p w:rsidR="00543F47" w:rsidRDefault="00543F4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A3" w:rsidRDefault="00A274A3">
    <w:pPr>
      <w:pBdr>
        <w:top w:val="nil"/>
        <w:left w:val="nil"/>
        <w:bottom w:val="nil"/>
        <w:right w:val="nil"/>
        <w:between w:val="nil"/>
      </w:pBdr>
      <w:tabs>
        <w:tab w:val="center" w:pos="4419"/>
        <w:tab w:val="right" w:pos="8838"/>
      </w:tabs>
      <w:spacing w:after="0"/>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A3" w:rsidRDefault="00D75FB3">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58240" behindDoc="0" locked="0" layoutInCell="1" hidden="0" allowOverlap="1">
          <wp:simplePos x="0" y="0"/>
          <wp:positionH relativeFrom="column">
            <wp:posOffset>-838198</wp:posOffset>
          </wp:positionH>
          <wp:positionV relativeFrom="paragraph">
            <wp:posOffset>-250188</wp:posOffset>
          </wp:positionV>
          <wp:extent cx="1476375" cy="704867"/>
          <wp:effectExtent l="0" t="0" r="0" b="0"/>
          <wp:wrapNone/>
          <wp:docPr id="214" name="image2.jpg" descr="C:\Users\UV-LUCIANA\AppData\Local\Microsoft\Windows\INetCache\Content.Word\anuncio cambio de fecha-29.jpg"/>
          <wp:cNvGraphicFramePr/>
          <a:graphic xmlns:a="http://schemas.openxmlformats.org/drawingml/2006/main">
            <a:graphicData uri="http://schemas.openxmlformats.org/drawingml/2006/picture">
              <pic:pic xmlns:pic="http://schemas.openxmlformats.org/drawingml/2006/picture">
                <pic:nvPicPr>
                  <pic:cNvPr id="0" name="image2.jpg" descr="C:\Users\UV-LUCIANA\AppData\Local\Microsoft\Windows\INetCache\Content.Word\anuncio cambio de fecha-29.jpg"/>
                  <pic:cNvPicPr preferRelativeResize="0"/>
                </pic:nvPicPr>
                <pic:blipFill>
                  <a:blip r:embed="rId1"/>
                  <a:srcRect/>
                  <a:stretch>
                    <a:fillRect/>
                  </a:stretch>
                </pic:blipFill>
                <pic:spPr>
                  <a:xfrm>
                    <a:off x="0" y="0"/>
                    <a:ext cx="1476375" cy="704867"/>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A3" w:rsidRDefault="00A274A3">
    <w:pPr>
      <w:pBdr>
        <w:top w:val="nil"/>
        <w:left w:val="nil"/>
        <w:bottom w:val="nil"/>
        <w:right w:val="nil"/>
        <w:between w:val="nil"/>
      </w:pBdr>
      <w:tabs>
        <w:tab w:val="center" w:pos="4419"/>
        <w:tab w:val="right" w:pos="8838"/>
      </w:tabs>
      <w:spacing w:after="0"/>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A274A3"/>
    <w:rsid w:val="001A1EE1"/>
    <w:rsid w:val="002E38EA"/>
    <w:rsid w:val="00354F5B"/>
    <w:rsid w:val="00461C7D"/>
    <w:rsid w:val="00532FD3"/>
    <w:rsid w:val="00543F47"/>
    <w:rsid w:val="00901025"/>
    <w:rsid w:val="009158EB"/>
    <w:rsid w:val="00A274A3"/>
    <w:rsid w:val="00B53893"/>
    <w:rsid w:val="00D75FB3"/>
    <w:rsid w:val="00EF0A7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semiHidden/>
    <w:unhideWhenUsed/>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semiHidden/>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character" w:customStyle="1" w:styleId="Estilo11">
    <w:name w:val="Estilo11"/>
    <w:uiPriority w:val="1"/>
    <w:rsid w:val="00866E13"/>
    <w:rPr>
      <w:rFonts w:ascii="Segoe UI" w:hAnsi="Segoe UI"/>
      <w:b w:val="0"/>
      <w:i w:val="0"/>
      <w:color w:val="0070C0"/>
      <w:sz w:val="20"/>
    </w:rPr>
  </w:style>
  <w:style w:type="character" w:customStyle="1" w:styleId="Estilo9">
    <w:name w:val="Estilo9"/>
    <w:uiPriority w:val="1"/>
    <w:rsid w:val="00782ED8"/>
    <w:rPr>
      <w:rFonts w:ascii="Segoe UI" w:hAnsi="Segoe UI"/>
      <w:spacing w:val="0"/>
      <w:position w:val="0"/>
      <w:sz w:val="24"/>
    </w:rPr>
  </w:style>
  <w:style w:type="table" w:customStyle="1" w:styleId="a1">
    <w:basedOn w:val="TableNormal1"/>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30496F"/>
    <w:rPr>
      <w:sz w:val="16"/>
      <w:szCs w:val="16"/>
    </w:rPr>
  </w:style>
  <w:style w:type="paragraph" w:styleId="Textocomentario">
    <w:name w:val="annotation text"/>
    <w:basedOn w:val="Normal"/>
    <w:link w:val="TextocomentarioCar"/>
    <w:uiPriority w:val="99"/>
    <w:unhideWhenUsed/>
    <w:rsid w:val="0030496F"/>
    <w:rPr>
      <w:sz w:val="20"/>
      <w:szCs w:val="20"/>
    </w:rPr>
  </w:style>
  <w:style w:type="character" w:customStyle="1" w:styleId="TextocomentarioCar">
    <w:name w:val="Texto comentario Car"/>
    <w:basedOn w:val="Fuentedeprrafopredeter"/>
    <w:link w:val="Textocomentario"/>
    <w:uiPriority w:val="99"/>
    <w:rsid w:val="0030496F"/>
    <w:rPr>
      <w:sz w:val="20"/>
      <w:szCs w:val="20"/>
    </w:rPr>
  </w:style>
  <w:style w:type="paragraph" w:styleId="Asuntodelcomentario">
    <w:name w:val="annotation subject"/>
    <w:basedOn w:val="Textocomentario"/>
    <w:next w:val="Textocomentario"/>
    <w:link w:val="AsuntodelcomentarioCar"/>
    <w:uiPriority w:val="99"/>
    <w:semiHidden/>
    <w:unhideWhenUsed/>
    <w:rsid w:val="0030496F"/>
    <w:rPr>
      <w:b/>
      <w:bCs/>
    </w:rPr>
  </w:style>
  <w:style w:type="character" w:customStyle="1" w:styleId="AsuntodelcomentarioCar">
    <w:name w:val="Asunto del comentario Car"/>
    <w:basedOn w:val="TextocomentarioCar"/>
    <w:link w:val="Asuntodelcomentario"/>
    <w:uiPriority w:val="99"/>
    <w:semiHidden/>
    <w:rsid w:val="0030496F"/>
    <w:rPr>
      <w:b/>
      <w:bCs/>
      <w:sz w:val="20"/>
      <w:szCs w:val="20"/>
    </w:rPr>
  </w:style>
  <w:style w:type="table" w:customStyle="1" w:styleId="a2">
    <w:basedOn w:val="TableNormal0"/>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semiHidden/>
    <w:unhideWhenUsed/>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semiHidden/>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character" w:customStyle="1" w:styleId="Estilo11">
    <w:name w:val="Estilo11"/>
    <w:uiPriority w:val="1"/>
    <w:rsid w:val="00866E13"/>
    <w:rPr>
      <w:rFonts w:ascii="Segoe UI" w:hAnsi="Segoe UI"/>
      <w:b w:val="0"/>
      <w:i w:val="0"/>
      <w:color w:val="0070C0"/>
      <w:sz w:val="20"/>
    </w:rPr>
  </w:style>
  <w:style w:type="character" w:customStyle="1" w:styleId="Estilo9">
    <w:name w:val="Estilo9"/>
    <w:uiPriority w:val="1"/>
    <w:rsid w:val="00782ED8"/>
    <w:rPr>
      <w:rFonts w:ascii="Segoe UI" w:hAnsi="Segoe UI"/>
      <w:spacing w:val="0"/>
      <w:position w:val="0"/>
      <w:sz w:val="24"/>
    </w:rPr>
  </w:style>
  <w:style w:type="table" w:customStyle="1" w:styleId="a1">
    <w:basedOn w:val="TableNormal1"/>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30496F"/>
    <w:rPr>
      <w:sz w:val="16"/>
      <w:szCs w:val="16"/>
    </w:rPr>
  </w:style>
  <w:style w:type="paragraph" w:styleId="Textocomentario">
    <w:name w:val="annotation text"/>
    <w:basedOn w:val="Normal"/>
    <w:link w:val="TextocomentarioCar"/>
    <w:uiPriority w:val="99"/>
    <w:unhideWhenUsed/>
    <w:rsid w:val="0030496F"/>
    <w:rPr>
      <w:sz w:val="20"/>
      <w:szCs w:val="20"/>
    </w:rPr>
  </w:style>
  <w:style w:type="character" w:customStyle="1" w:styleId="TextocomentarioCar">
    <w:name w:val="Texto comentario Car"/>
    <w:basedOn w:val="Fuentedeprrafopredeter"/>
    <w:link w:val="Textocomentario"/>
    <w:uiPriority w:val="99"/>
    <w:rsid w:val="0030496F"/>
    <w:rPr>
      <w:sz w:val="20"/>
      <w:szCs w:val="20"/>
    </w:rPr>
  </w:style>
  <w:style w:type="paragraph" w:styleId="Asuntodelcomentario">
    <w:name w:val="annotation subject"/>
    <w:basedOn w:val="Textocomentario"/>
    <w:next w:val="Textocomentario"/>
    <w:link w:val="AsuntodelcomentarioCar"/>
    <w:uiPriority w:val="99"/>
    <w:semiHidden/>
    <w:unhideWhenUsed/>
    <w:rsid w:val="0030496F"/>
    <w:rPr>
      <w:b/>
      <w:bCs/>
    </w:rPr>
  </w:style>
  <w:style w:type="character" w:customStyle="1" w:styleId="AsuntodelcomentarioCar">
    <w:name w:val="Asunto del comentario Car"/>
    <w:basedOn w:val="TextocomentarioCar"/>
    <w:link w:val="Asuntodelcomentario"/>
    <w:uiPriority w:val="99"/>
    <w:semiHidden/>
    <w:rsid w:val="0030496F"/>
    <w:rPr>
      <w:b/>
      <w:bCs/>
      <w:sz w:val="20"/>
      <w:szCs w:val="20"/>
    </w:rPr>
  </w:style>
  <w:style w:type="table" w:customStyle="1" w:styleId="a2">
    <w:basedOn w:val="TableNormal0"/>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berlicenciatura@gmail.com"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40561-024-00316-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i.org/10.1186/s40561-024-00316-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80/23311983.2025.2491183"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yGaxi80lYx0eUDOzL3K+LZyBHw==">CgMxLjAyDmgudW9heDR1cTQxYXRiOAByITFBdVdxTGJHMmsxd21GOWVIRlBCRWZuWkZCWVA5VTd6TQ==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2266</Words>
  <Characters>12469</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cp:lastModifiedBy>
  <cp:revision>7</cp:revision>
  <dcterms:created xsi:type="dcterms:W3CDTF">2025-06-23T14:28:00Z</dcterms:created>
  <dcterms:modified xsi:type="dcterms:W3CDTF">2025-07-03T13:06:00Z</dcterms:modified>
</cp:coreProperties>
</file>